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068D" w14:textId="77777777" w:rsidR="00D411A8" w:rsidRDefault="00D411A8" w:rsidP="00D411A8">
      <w:pPr>
        <w:pStyle w:val="Title"/>
        <w:spacing w:before="0" w:after="120"/>
        <w:jc w:val="center"/>
        <w:rPr>
          <w:sz w:val="44"/>
        </w:rPr>
      </w:pPr>
      <w:r>
        <w:rPr>
          <w:sz w:val="44"/>
        </w:rPr>
        <w:t xml:space="preserve">WISCIENCE </w:t>
      </w:r>
      <w:r w:rsidRPr="0013756A">
        <w:rPr>
          <w:sz w:val="44"/>
        </w:rPr>
        <w:t xml:space="preserve">Community-Based learning </w:t>
      </w:r>
      <w:r>
        <w:rPr>
          <w:sz w:val="44"/>
        </w:rPr>
        <w:t>framework</w:t>
      </w:r>
    </w:p>
    <w:p w14:paraId="2589575F" w14:textId="77777777" w:rsidR="00D411A8" w:rsidRPr="004818B1" w:rsidRDefault="00D411A8" w:rsidP="00D411A8">
      <w:pPr>
        <w:pStyle w:val="Heading2"/>
        <w:tabs>
          <w:tab w:val="right" w:pos="10800"/>
        </w:tabs>
        <w:rPr>
          <w:color w:val="000000" w:themeColor="text1"/>
          <w:sz w:val="16"/>
        </w:rPr>
      </w:pPr>
      <w:r w:rsidRPr="00211FB2">
        <w:rPr>
          <w:color w:val="000000" w:themeColor="text1"/>
          <w:sz w:val="16"/>
        </w:rPr>
        <w:tab/>
      </w:r>
    </w:p>
    <w:p w14:paraId="20E98CA3" w14:textId="77777777" w:rsidR="00D411A8" w:rsidRPr="003D625A" w:rsidRDefault="00D411A8" w:rsidP="00D411A8">
      <w:pPr>
        <w:pStyle w:val="Heading3"/>
        <w:rPr>
          <w:sz w:val="24"/>
          <w:szCs w:val="24"/>
        </w:rPr>
      </w:pPr>
      <w:r w:rsidRPr="003D625A">
        <w:rPr>
          <w:sz w:val="24"/>
          <w:szCs w:val="24"/>
        </w:rPr>
        <w:t>what is the Community-based learning framework?</w:t>
      </w:r>
    </w:p>
    <w:p w14:paraId="3AC51ABD" w14:textId="77777777" w:rsidR="00D411A8" w:rsidRPr="000B6654" w:rsidRDefault="00D411A8" w:rsidP="00D411A8">
      <w:pPr>
        <w:rPr>
          <w:sz w:val="22"/>
          <w:szCs w:val="22"/>
        </w:rPr>
      </w:pPr>
      <w:r w:rsidRPr="75B9F5AE">
        <w:rPr>
          <w:sz w:val="22"/>
          <w:szCs w:val="22"/>
        </w:rPr>
        <w:t xml:space="preserve">The community-based learning (CBL) framework is a resource meant to provide a shared language for instructors and students in CBL courses. It articulates knowledge, skills, and values that actively </w:t>
      </w:r>
      <w:r>
        <w:rPr>
          <w:sz w:val="22"/>
          <w:szCs w:val="22"/>
        </w:rPr>
        <w:t>span the boundary between the university and community, allowing meaningful participation</w:t>
      </w:r>
      <w:r w:rsidRPr="75B9F5AE">
        <w:rPr>
          <w:sz w:val="22"/>
          <w:szCs w:val="22"/>
        </w:rPr>
        <w:t xml:space="preserve"> in public life.  It provides a lens through which to approach large, complex issues, </w:t>
      </w:r>
      <w:r>
        <w:rPr>
          <w:sz w:val="22"/>
          <w:szCs w:val="22"/>
        </w:rPr>
        <w:t>by</w:t>
      </w:r>
      <w:r w:rsidRPr="75B9F5AE">
        <w:rPr>
          <w:sz w:val="22"/>
          <w:szCs w:val="22"/>
        </w:rPr>
        <w:t xml:space="preserve"> breaking issues into smaller, more approachable parts. The full framework, including Learning Domains and Student Outcomes, is available at the end of this document.</w:t>
      </w:r>
    </w:p>
    <w:p w14:paraId="369F901D" w14:textId="77777777" w:rsidR="00D411A8" w:rsidRPr="000B6654" w:rsidRDefault="00D411A8" w:rsidP="00D411A8">
      <w:pPr>
        <w:rPr>
          <w:b/>
          <w:bCs/>
          <w:sz w:val="22"/>
          <w:szCs w:val="22"/>
        </w:rPr>
      </w:pPr>
      <w:r>
        <w:rPr>
          <w:b/>
          <w:bCs/>
          <w:sz w:val="22"/>
          <w:szCs w:val="22"/>
        </w:rPr>
        <w:t>Learning domains</w:t>
      </w:r>
      <w:r w:rsidRPr="000B6654">
        <w:rPr>
          <w:b/>
          <w:bCs/>
          <w:sz w:val="22"/>
          <w:szCs w:val="22"/>
        </w:rPr>
        <w:t xml:space="preserve"> guiding the CBL Framework include:</w:t>
      </w:r>
    </w:p>
    <w:p w14:paraId="22687F01" w14:textId="77777777" w:rsidR="00D411A8" w:rsidRPr="000B6654" w:rsidRDefault="00D411A8" w:rsidP="00D411A8">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0B6654">
        <w:rPr>
          <w:sz w:val="22"/>
          <w:szCs w:val="22"/>
        </w:rPr>
        <w:t>Academic and Professional Domain</w:t>
      </w:r>
    </w:p>
    <w:p w14:paraId="1DDD145E" w14:textId="77777777" w:rsidR="00D411A8" w:rsidRPr="000B6654" w:rsidRDefault="00D411A8" w:rsidP="00D411A8">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0B6654">
        <w:rPr>
          <w:sz w:val="22"/>
          <w:szCs w:val="22"/>
        </w:rPr>
        <w:t>Civic Domain</w:t>
      </w:r>
    </w:p>
    <w:p w14:paraId="45632D2B" w14:textId="77777777" w:rsidR="00D411A8" w:rsidRPr="000B6654" w:rsidRDefault="00D411A8" w:rsidP="00D411A8">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0B6654">
        <w:rPr>
          <w:sz w:val="22"/>
          <w:szCs w:val="22"/>
        </w:rPr>
        <w:t>Community Engagement Domain</w:t>
      </w:r>
    </w:p>
    <w:p w14:paraId="08C8AE5B" w14:textId="77777777" w:rsidR="00D411A8" w:rsidRPr="000B6654" w:rsidRDefault="00D411A8" w:rsidP="00D411A8">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0B6654">
        <w:rPr>
          <w:sz w:val="22"/>
          <w:szCs w:val="22"/>
        </w:rPr>
        <w:t>Diversity and Intercultural Domain</w:t>
      </w:r>
    </w:p>
    <w:p w14:paraId="15D58379" w14:textId="77777777" w:rsidR="00D411A8" w:rsidRPr="000B6654" w:rsidRDefault="00D411A8" w:rsidP="00D411A8">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0B6654">
        <w:rPr>
          <w:sz w:val="22"/>
          <w:szCs w:val="22"/>
        </w:rPr>
        <w:t>Personal Growth and Leadership Domain</w:t>
      </w:r>
    </w:p>
    <w:p w14:paraId="3B216517" w14:textId="77777777" w:rsidR="00D411A8" w:rsidRPr="000B6654" w:rsidRDefault="00D411A8" w:rsidP="00D411A8">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0B6654">
        <w:rPr>
          <w:sz w:val="22"/>
          <w:szCs w:val="22"/>
        </w:rPr>
        <w:t>Social and Communication Domain</w:t>
      </w:r>
    </w:p>
    <w:p w14:paraId="0B2FFCAC" w14:textId="77777777" w:rsidR="00D411A8" w:rsidRPr="000B6654" w:rsidRDefault="00D411A8" w:rsidP="00D411A8">
      <w:pPr>
        <w:rPr>
          <w:sz w:val="22"/>
          <w:szCs w:val="22"/>
        </w:rPr>
      </w:pPr>
      <w:r w:rsidRPr="000B6654">
        <w:rPr>
          <w:sz w:val="22"/>
          <w:szCs w:val="22"/>
        </w:rPr>
        <w:br/>
      </w:r>
      <w:r w:rsidRPr="000B6654">
        <w:rPr>
          <w:b/>
          <w:bCs/>
          <w:sz w:val="22"/>
          <w:szCs w:val="22"/>
          <w:u w:val="single"/>
        </w:rPr>
        <w:t>For student</w:t>
      </w:r>
      <w:r>
        <w:rPr>
          <w:b/>
          <w:bCs/>
          <w:sz w:val="22"/>
          <w:szCs w:val="22"/>
          <w:u w:val="single"/>
        </w:rPr>
        <w:t>s</w:t>
      </w:r>
      <w:r w:rsidRPr="000B6654">
        <w:rPr>
          <w:b/>
          <w:bCs/>
          <w:sz w:val="22"/>
          <w:szCs w:val="22"/>
          <w:u w:val="single"/>
        </w:rPr>
        <w:t>,</w:t>
      </w:r>
      <w:r w:rsidRPr="000B6654">
        <w:rPr>
          <w:sz w:val="22"/>
          <w:szCs w:val="22"/>
        </w:rPr>
        <w:t xml:space="preserve"> the CBL framework can provide:</w:t>
      </w:r>
    </w:p>
    <w:p w14:paraId="4AFD19BE" w14:textId="77777777" w:rsidR="00D411A8" w:rsidRPr="000B6654" w:rsidRDefault="00D411A8" w:rsidP="00D411A8">
      <w:pPr>
        <w:pStyle w:val="ListParagraph"/>
        <w:numPr>
          <w:ilvl w:val="0"/>
          <w:numId w:val="1"/>
        </w:numPr>
        <w:rPr>
          <w:sz w:val="22"/>
          <w:szCs w:val="22"/>
        </w:rPr>
      </w:pPr>
      <w:r w:rsidRPr="75B9F5AE">
        <w:rPr>
          <w:sz w:val="22"/>
          <w:szCs w:val="22"/>
        </w:rPr>
        <w:t>Development of highly transferrable knowledge and skills.</w:t>
      </w:r>
    </w:p>
    <w:p w14:paraId="6AD15DE5" w14:textId="77777777" w:rsidR="00D411A8" w:rsidRPr="000B6654" w:rsidRDefault="00D411A8" w:rsidP="00D411A8">
      <w:pPr>
        <w:pStyle w:val="ListParagraph"/>
        <w:numPr>
          <w:ilvl w:val="0"/>
          <w:numId w:val="1"/>
        </w:numPr>
        <w:rPr>
          <w:sz w:val="22"/>
          <w:szCs w:val="22"/>
        </w:rPr>
      </w:pPr>
      <w:r w:rsidRPr="75B9F5AE">
        <w:rPr>
          <w:sz w:val="22"/>
          <w:szCs w:val="22"/>
        </w:rPr>
        <w:t>Identif</w:t>
      </w:r>
      <w:r>
        <w:rPr>
          <w:sz w:val="22"/>
          <w:szCs w:val="22"/>
        </w:rPr>
        <w:t>ication of</w:t>
      </w:r>
      <w:r w:rsidRPr="75B9F5AE">
        <w:rPr>
          <w:sz w:val="22"/>
          <w:szCs w:val="22"/>
        </w:rPr>
        <w:t xml:space="preserve"> skills that bridge disciplines (i.e. communication, leadership, and intercultural skills).</w:t>
      </w:r>
    </w:p>
    <w:p w14:paraId="7D0C0C27" w14:textId="77777777" w:rsidR="00D411A8" w:rsidRPr="000B6654" w:rsidRDefault="00D411A8" w:rsidP="00D411A8">
      <w:pPr>
        <w:pStyle w:val="ListParagraph"/>
        <w:numPr>
          <w:ilvl w:val="0"/>
          <w:numId w:val="1"/>
        </w:numPr>
        <w:rPr>
          <w:sz w:val="22"/>
          <w:szCs w:val="22"/>
        </w:rPr>
      </w:pPr>
      <w:r>
        <w:rPr>
          <w:sz w:val="22"/>
          <w:szCs w:val="22"/>
        </w:rPr>
        <w:t>Knowledge</w:t>
      </w:r>
      <w:r w:rsidRPr="000B6654">
        <w:rPr>
          <w:sz w:val="22"/>
          <w:szCs w:val="22"/>
        </w:rPr>
        <w:t xml:space="preserve"> and skill</w:t>
      </w:r>
      <w:r>
        <w:rPr>
          <w:sz w:val="22"/>
          <w:szCs w:val="22"/>
        </w:rPr>
        <w:t>s</w:t>
      </w:r>
      <w:r w:rsidRPr="000B6654">
        <w:rPr>
          <w:sz w:val="22"/>
          <w:szCs w:val="22"/>
        </w:rPr>
        <w:t xml:space="preserve"> that </w:t>
      </w:r>
      <w:r>
        <w:rPr>
          <w:sz w:val="22"/>
          <w:szCs w:val="22"/>
        </w:rPr>
        <w:t>students</w:t>
      </w:r>
      <w:r w:rsidRPr="000B6654">
        <w:rPr>
          <w:sz w:val="22"/>
          <w:szCs w:val="22"/>
        </w:rPr>
        <w:t xml:space="preserve"> </w:t>
      </w:r>
      <w:proofErr w:type="gramStart"/>
      <w:r w:rsidRPr="000B6654">
        <w:rPr>
          <w:sz w:val="22"/>
          <w:szCs w:val="22"/>
        </w:rPr>
        <w:t>are able to</w:t>
      </w:r>
      <w:proofErr w:type="gramEnd"/>
      <w:r w:rsidRPr="000B6654">
        <w:rPr>
          <w:sz w:val="22"/>
          <w:szCs w:val="22"/>
        </w:rPr>
        <w:t xml:space="preserve"> include on a resume or talk about in an interview.</w:t>
      </w:r>
      <w:r>
        <w:rPr>
          <w:sz w:val="22"/>
          <w:szCs w:val="22"/>
        </w:rPr>
        <w:br/>
      </w:r>
    </w:p>
    <w:p w14:paraId="523B3F02" w14:textId="77777777" w:rsidR="00D411A8" w:rsidRPr="000B6654" w:rsidRDefault="00D411A8" w:rsidP="00D411A8">
      <w:pPr>
        <w:rPr>
          <w:sz w:val="22"/>
          <w:szCs w:val="22"/>
        </w:rPr>
      </w:pPr>
      <w:r w:rsidRPr="000B6654">
        <w:rPr>
          <w:b/>
          <w:bCs/>
          <w:sz w:val="22"/>
          <w:szCs w:val="22"/>
          <w:u w:val="single"/>
        </w:rPr>
        <w:t>For instructors,</w:t>
      </w:r>
      <w:r w:rsidRPr="000B6654">
        <w:rPr>
          <w:sz w:val="22"/>
          <w:szCs w:val="22"/>
        </w:rPr>
        <w:t xml:space="preserve"> the CBL framework can provide:</w:t>
      </w:r>
    </w:p>
    <w:p w14:paraId="45ED1FE5" w14:textId="77777777" w:rsidR="00D411A8" w:rsidRPr="000B6654" w:rsidRDefault="00D411A8" w:rsidP="00D411A8">
      <w:pPr>
        <w:pStyle w:val="ListParagraph"/>
        <w:numPr>
          <w:ilvl w:val="0"/>
          <w:numId w:val="23"/>
        </w:numPr>
        <w:rPr>
          <w:sz w:val="22"/>
          <w:szCs w:val="22"/>
        </w:rPr>
      </w:pPr>
      <w:r>
        <w:rPr>
          <w:sz w:val="22"/>
          <w:szCs w:val="22"/>
        </w:rPr>
        <w:t>Identification</w:t>
      </w:r>
      <w:r w:rsidRPr="75B9F5AE">
        <w:rPr>
          <w:sz w:val="22"/>
          <w:szCs w:val="22"/>
        </w:rPr>
        <w:t xml:space="preserve"> of</w:t>
      </w:r>
      <w:r>
        <w:rPr>
          <w:sz w:val="22"/>
          <w:szCs w:val="22"/>
        </w:rPr>
        <w:t xml:space="preserve"> CBL-related</w:t>
      </w:r>
      <w:r w:rsidRPr="75B9F5AE">
        <w:rPr>
          <w:sz w:val="22"/>
          <w:szCs w:val="22"/>
        </w:rPr>
        <w:t xml:space="preserve"> student outcomes that are frequently already part of a course but may not be clearly articulated to students.</w:t>
      </w:r>
    </w:p>
    <w:p w14:paraId="34ED6ACF" w14:textId="77777777" w:rsidR="00D411A8" w:rsidRPr="000B6654" w:rsidRDefault="00D411A8" w:rsidP="00D411A8">
      <w:pPr>
        <w:pStyle w:val="ListParagraph"/>
        <w:numPr>
          <w:ilvl w:val="0"/>
          <w:numId w:val="23"/>
        </w:numPr>
        <w:rPr>
          <w:sz w:val="22"/>
          <w:szCs w:val="22"/>
        </w:rPr>
      </w:pPr>
      <w:r w:rsidRPr="75B9F5AE">
        <w:rPr>
          <w:sz w:val="22"/>
          <w:szCs w:val="22"/>
        </w:rPr>
        <w:t>A resource to guide learning outcomes development and course design.</w:t>
      </w:r>
    </w:p>
    <w:p w14:paraId="13276024" w14:textId="77777777" w:rsidR="00D411A8" w:rsidRDefault="00D411A8" w:rsidP="00D411A8">
      <w:pPr>
        <w:pStyle w:val="ListParagraph"/>
        <w:rPr>
          <w:sz w:val="22"/>
          <w:szCs w:val="22"/>
        </w:rPr>
      </w:pPr>
    </w:p>
    <w:p w14:paraId="68A00FDB" w14:textId="77777777" w:rsidR="00D411A8" w:rsidRDefault="00D411A8" w:rsidP="00D411A8"/>
    <w:p w14:paraId="5F8D2909" w14:textId="77777777" w:rsidR="00D411A8" w:rsidRDefault="00D411A8" w:rsidP="00D411A8">
      <w:pPr>
        <w:pStyle w:val="Heading3"/>
      </w:pPr>
      <w:r>
        <w:t xml:space="preserve">The framework is </w:t>
      </w:r>
      <w:r w:rsidRPr="000D1FAC">
        <w:rPr>
          <w:b/>
          <w:bCs/>
        </w:rPr>
        <w:t>NOT</w:t>
      </w:r>
      <w:r>
        <w:t xml:space="preserve"> meant to: </w:t>
      </w:r>
    </w:p>
    <w:p w14:paraId="456C2E5D" w14:textId="77777777" w:rsidR="00D411A8" w:rsidRPr="007B3784" w:rsidRDefault="00D411A8" w:rsidP="00D411A8">
      <w:pPr>
        <w:pStyle w:val="ListParagraph"/>
        <w:numPr>
          <w:ilvl w:val="0"/>
          <w:numId w:val="42"/>
        </w:numPr>
        <w:rPr>
          <w:sz w:val="22"/>
          <w:szCs w:val="22"/>
        </w:rPr>
      </w:pPr>
      <w:r w:rsidRPr="75B9F5AE">
        <w:rPr>
          <w:sz w:val="22"/>
          <w:szCs w:val="22"/>
        </w:rPr>
        <w:t>Describe what happens in every CBL course.</w:t>
      </w:r>
    </w:p>
    <w:p w14:paraId="623B756F" w14:textId="77777777" w:rsidR="00D411A8" w:rsidRPr="007B3784" w:rsidRDefault="00D411A8" w:rsidP="00D411A8">
      <w:pPr>
        <w:pStyle w:val="ListParagraph"/>
        <w:numPr>
          <w:ilvl w:val="0"/>
          <w:numId w:val="42"/>
        </w:numPr>
        <w:rPr>
          <w:sz w:val="22"/>
          <w:szCs w:val="22"/>
        </w:rPr>
      </w:pPr>
      <w:r w:rsidRPr="75B9F5AE">
        <w:rPr>
          <w:sz w:val="22"/>
          <w:szCs w:val="22"/>
        </w:rPr>
        <w:t>Represent what is possible to achieve in a single course.</w:t>
      </w:r>
    </w:p>
    <w:p w14:paraId="1E150063" w14:textId="77777777" w:rsidR="00D411A8" w:rsidRPr="007B3784" w:rsidRDefault="00D411A8" w:rsidP="00D411A8">
      <w:pPr>
        <w:pStyle w:val="ListParagraph"/>
        <w:numPr>
          <w:ilvl w:val="0"/>
          <w:numId w:val="42"/>
        </w:numPr>
        <w:rPr>
          <w:sz w:val="22"/>
          <w:szCs w:val="22"/>
        </w:rPr>
      </w:pPr>
      <w:r w:rsidRPr="75B9F5AE">
        <w:rPr>
          <w:sz w:val="22"/>
          <w:szCs w:val="22"/>
        </w:rPr>
        <w:t>Tell instructors what they must do in their course.</w:t>
      </w:r>
    </w:p>
    <w:p w14:paraId="26BCA05F" w14:textId="77777777" w:rsidR="00D411A8" w:rsidRPr="00B10ECC" w:rsidRDefault="00D411A8" w:rsidP="00D411A8">
      <w:pPr>
        <w:pStyle w:val="ListParagraph"/>
        <w:numPr>
          <w:ilvl w:val="0"/>
          <w:numId w:val="42"/>
        </w:numPr>
        <w:rPr>
          <w:sz w:val="22"/>
          <w:szCs w:val="22"/>
        </w:rPr>
      </w:pPr>
      <w:r w:rsidRPr="3920E3EB">
        <w:rPr>
          <w:sz w:val="22"/>
          <w:szCs w:val="22"/>
        </w:rPr>
        <w:t>Serve as an assessment of teaching/instruction.</w:t>
      </w:r>
    </w:p>
    <w:p w14:paraId="1EE466A0" w14:textId="7B332DE8" w:rsidR="00E148C8" w:rsidRPr="00A81AA9" w:rsidRDefault="00E148C8" w:rsidP="00824686">
      <w:pPr>
        <w:spacing w:before="0" w:after="0" w:line="240" w:lineRule="auto"/>
        <w:rPr>
          <w:sz w:val="24"/>
          <w:szCs w:val="24"/>
        </w:rPr>
        <w:sectPr w:rsidR="00E148C8" w:rsidRPr="00A81AA9" w:rsidSect="002C1BE1">
          <w:footerReference w:type="default" r:id="rId8"/>
          <w:footnotePr>
            <w:numRestart w:val="eachPage"/>
          </w:footnotePr>
          <w:pgSz w:w="12240" w:h="15840"/>
          <w:pgMar w:top="720" w:right="720" w:bottom="720" w:left="720" w:header="720" w:footer="720" w:gutter="0"/>
          <w:cols w:space="720"/>
          <w:docGrid w:linePitch="360"/>
        </w:sectPr>
      </w:pPr>
      <w:r w:rsidRPr="00A81AA9">
        <w:rPr>
          <w:sz w:val="24"/>
          <w:szCs w:val="24"/>
        </w:rPr>
        <w:br/>
      </w:r>
    </w:p>
    <w:p w14:paraId="1748E84A" w14:textId="780330E7" w:rsidR="00AD15F1" w:rsidRDefault="00AD15F1">
      <w:pPr>
        <w:spacing w:before="0" w:after="0" w:line="240" w:lineRule="auto"/>
        <w:rPr>
          <w:i/>
          <w:iCs/>
          <w:sz w:val="18"/>
          <w:szCs w:val="18"/>
        </w:rPr>
      </w:pPr>
    </w:p>
    <w:tbl>
      <w:tblPr>
        <w:tblpPr w:leftFromText="180" w:rightFromText="180" w:horzAnchor="margin" w:tblpY="-207"/>
        <w:tblW w:w="14360" w:type="dxa"/>
        <w:tblLook w:val="04A0" w:firstRow="1" w:lastRow="0" w:firstColumn="1" w:lastColumn="0" w:noHBand="0" w:noVBand="1"/>
      </w:tblPr>
      <w:tblGrid>
        <w:gridCol w:w="1039"/>
        <w:gridCol w:w="2243"/>
        <w:gridCol w:w="2163"/>
        <w:gridCol w:w="2242"/>
        <w:gridCol w:w="2245"/>
        <w:gridCol w:w="2239"/>
        <w:gridCol w:w="2189"/>
      </w:tblGrid>
      <w:tr w:rsidR="00D411A8" w:rsidRPr="00505137" w14:paraId="4A1E6674" w14:textId="77777777" w:rsidTr="00911B92">
        <w:trPr>
          <w:trHeight w:val="760"/>
        </w:trPr>
        <w:tc>
          <w:tcPr>
            <w:tcW w:w="14360" w:type="dxa"/>
            <w:gridSpan w:val="7"/>
            <w:tcBorders>
              <w:top w:val="single" w:sz="4" w:space="0" w:color="auto"/>
              <w:left w:val="single" w:sz="4" w:space="0" w:color="auto"/>
              <w:bottom w:val="single" w:sz="4" w:space="0" w:color="auto"/>
              <w:right w:val="single" w:sz="4" w:space="0" w:color="auto"/>
            </w:tcBorders>
            <w:shd w:val="clear" w:color="000000" w:fill="EBE8EC"/>
            <w:vAlign w:val="center"/>
            <w:hideMark/>
          </w:tcPr>
          <w:p w14:paraId="781EA149" w14:textId="77777777" w:rsidR="00D411A8" w:rsidRPr="00E71DF1" w:rsidRDefault="00D411A8" w:rsidP="00911B92">
            <w:pPr>
              <w:spacing w:before="0" w:after="0" w:line="240" w:lineRule="auto"/>
              <w:jc w:val="center"/>
              <w:rPr>
                <w:rFonts w:ascii="Calibri" w:eastAsia="Times New Roman" w:hAnsi="Calibri" w:cs="Calibri"/>
                <w:b/>
                <w:bCs/>
                <w:color w:val="000000"/>
                <w:sz w:val="22"/>
                <w:szCs w:val="22"/>
              </w:rPr>
            </w:pPr>
            <w:bookmarkStart w:id="0" w:name="Framework"/>
            <w:bookmarkEnd w:id="0"/>
            <w:r>
              <w:rPr>
                <w:rFonts w:ascii="Calibri" w:eastAsia="Times New Roman" w:hAnsi="Calibri" w:cs="Calibri"/>
                <w:b/>
                <w:bCs/>
                <w:color w:val="000000"/>
                <w:sz w:val="22"/>
                <w:szCs w:val="22"/>
              </w:rPr>
              <w:t>WISCIENCE Community-Based Learning Framework</w:t>
            </w:r>
          </w:p>
        </w:tc>
      </w:tr>
      <w:tr w:rsidR="00D411A8" w:rsidRPr="00505137" w14:paraId="08DFCB76" w14:textId="77777777" w:rsidTr="00911B92">
        <w:trPr>
          <w:trHeight w:val="900"/>
        </w:trPr>
        <w:tc>
          <w:tcPr>
            <w:tcW w:w="1039" w:type="dxa"/>
            <w:tcBorders>
              <w:top w:val="nil"/>
              <w:left w:val="single" w:sz="4" w:space="0" w:color="auto"/>
              <w:bottom w:val="single" w:sz="4" w:space="0" w:color="auto"/>
              <w:right w:val="single" w:sz="4" w:space="0" w:color="auto"/>
            </w:tcBorders>
            <w:vAlign w:val="center"/>
            <w:hideMark/>
          </w:tcPr>
          <w:p w14:paraId="0B4D506D"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r w:rsidRPr="00505137">
              <w:rPr>
                <w:rFonts w:ascii="Calibri" w:eastAsia="Times New Roman" w:hAnsi="Calibri" w:cs="Calibri"/>
                <w:b/>
                <w:bCs/>
                <w:color w:val="000000"/>
                <w:sz w:val="18"/>
                <w:szCs w:val="18"/>
              </w:rPr>
              <w:t>Learning Domains</w:t>
            </w:r>
            <w:r>
              <w:rPr>
                <w:rStyle w:val="FootnoteReference"/>
                <w:rFonts w:ascii="Calibri" w:eastAsia="Times New Roman" w:hAnsi="Calibri" w:cs="Calibri"/>
                <w:b/>
                <w:bCs/>
                <w:color w:val="000000"/>
                <w:sz w:val="18"/>
                <w:szCs w:val="18"/>
              </w:rPr>
              <w:footnoteReference w:id="1"/>
            </w:r>
          </w:p>
        </w:tc>
        <w:tc>
          <w:tcPr>
            <w:tcW w:w="2243" w:type="dxa"/>
            <w:tcBorders>
              <w:top w:val="nil"/>
              <w:left w:val="nil"/>
              <w:bottom w:val="double" w:sz="6" w:space="0" w:color="auto"/>
              <w:right w:val="single" w:sz="4" w:space="0" w:color="auto"/>
            </w:tcBorders>
            <w:vAlign w:val="center"/>
            <w:hideMark/>
          </w:tcPr>
          <w:p w14:paraId="301328BC"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r w:rsidRPr="00505137">
              <w:rPr>
                <w:rFonts w:ascii="Calibri" w:eastAsia="Times New Roman" w:hAnsi="Calibri" w:cs="Calibri"/>
                <w:b/>
                <w:bCs/>
                <w:color w:val="000000"/>
                <w:sz w:val="18"/>
                <w:szCs w:val="18"/>
              </w:rPr>
              <w:t>ACADEMIC AND PROFESSIONAL DOMAIN</w:t>
            </w:r>
          </w:p>
        </w:tc>
        <w:tc>
          <w:tcPr>
            <w:tcW w:w="2163" w:type="dxa"/>
            <w:tcBorders>
              <w:top w:val="nil"/>
              <w:left w:val="nil"/>
              <w:bottom w:val="double" w:sz="6" w:space="0" w:color="auto"/>
              <w:right w:val="single" w:sz="4" w:space="0" w:color="auto"/>
            </w:tcBorders>
            <w:vAlign w:val="center"/>
            <w:hideMark/>
          </w:tcPr>
          <w:p w14:paraId="6A0E848B"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r w:rsidRPr="00505137">
              <w:rPr>
                <w:rFonts w:ascii="Calibri" w:eastAsia="Times New Roman" w:hAnsi="Calibri" w:cs="Calibri"/>
                <w:b/>
                <w:bCs/>
                <w:color w:val="000000"/>
                <w:sz w:val="18"/>
                <w:szCs w:val="18"/>
              </w:rPr>
              <w:t>CIVIC DOMAIN</w:t>
            </w:r>
          </w:p>
        </w:tc>
        <w:tc>
          <w:tcPr>
            <w:tcW w:w="2242" w:type="dxa"/>
            <w:tcBorders>
              <w:top w:val="nil"/>
              <w:left w:val="nil"/>
              <w:bottom w:val="double" w:sz="6" w:space="0" w:color="auto"/>
              <w:right w:val="single" w:sz="4" w:space="0" w:color="auto"/>
            </w:tcBorders>
            <w:vAlign w:val="center"/>
            <w:hideMark/>
          </w:tcPr>
          <w:p w14:paraId="49FFB6F1"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r w:rsidRPr="00505137">
              <w:rPr>
                <w:rFonts w:ascii="Calibri" w:eastAsia="Times New Roman" w:hAnsi="Calibri" w:cs="Calibri"/>
                <w:b/>
                <w:bCs/>
                <w:color w:val="000000"/>
                <w:sz w:val="18"/>
                <w:szCs w:val="18"/>
              </w:rPr>
              <w:t>COMMUNITY ENGAGEMENT DOMAIN</w:t>
            </w:r>
          </w:p>
        </w:tc>
        <w:tc>
          <w:tcPr>
            <w:tcW w:w="2245" w:type="dxa"/>
            <w:tcBorders>
              <w:top w:val="nil"/>
              <w:left w:val="nil"/>
              <w:bottom w:val="double" w:sz="6" w:space="0" w:color="auto"/>
              <w:right w:val="single" w:sz="4" w:space="0" w:color="auto"/>
            </w:tcBorders>
            <w:vAlign w:val="center"/>
            <w:hideMark/>
          </w:tcPr>
          <w:p w14:paraId="721A0B59"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r w:rsidRPr="00505137">
              <w:rPr>
                <w:rFonts w:ascii="Calibri" w:eastAsia="Times New Roman" w:hAnsi="Calibri" w:cs="Calibri"/>
                <w:b/>
                <w:bCs/>
                <w:color w:val="000000"/>
                <w:sz w:val="18"/>
                <w:szCs w:val="18"/>
              </w:rPr>
              <w:t>DIVERSITY AND INTERCULTURAL DOMAIN</w:t>
            </w:r>
          </w:p>
        </w:tc>
        <w:tc>
          <w:tcPr>
            <w:tcW w:w="2239" w:type="dxa"/>
            <w:tcBorders>
              <w:top w:val="nil"/>
              <w:left w:val="nil"/>
              <w:bottom w:val="double" w:sz="6" w:space="0" w:color="auto"/>
              <w:right w:val="single" w:sz="4" w:space="0" w:color="auto"/>
            </w:tcBorders>
            <w:vAlign w:val="center"/>
            <w:hideMark/>
          </w:tcPr>
          <w:p w14:paraId="6C324054"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r w:rsidRPr="00505137">
              <w:rPr>
                <w:rFonts w:ascii="Calibri" w:eastAsia="Times New Roman" w:hAnsi="Calibri" w:cs="Calibri"/>
                <w:b/>
                <w:bCs/>
                <w:color w:val="000000"/>
                <w:sz w:val="18"/>
                <w:szCs w:val="18"/>
              </w:rPr>
              <w:t>PERSONAL GROWTH AND LEADERSHIP DOMAIN</w:t>
            </w:r>
          </w:p>
        </w:tc>
        <w:tc>
          <w:tcPr>
            <w:tcW w:w="2189" w:type="dxa"/>
            <w:tcBorders>
              <w:top w:val="nil"/>
              <w:left w:val="nil"/>
              <w:bottom w:val="double" w:sz="6" w:space="0" w:color="auto"/>
              <w:right w:val="single" w:sz="4" w:space="0" w:color="auto"/>
            </w:tcBorders>
            <w:vAlign w:val="center"/>
            <w:hideMark/>
          </w:tcPr>
          <w:p w14:paraId="5EDABF0A"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r w:rsidRPr="00505137">
              <w:rPr>
                <w:rFonts w:ascii="Calibri" w:eastAsia="Times New Roman" w:hAnsi="Calibri" w:cs="Calibri"/>
                <w:b/>
                <w:bCs/>
                <w:color w:val="000000"/>
                <w:sz w:val="18"/>
                <w:szCs w:val="18"/>
              </w:rPr>
              <w:t>SOCIAL AND COMMUNICATION DOMAIN</w:t>
            </w:r>
          </w:p>
        </w:tc>
      </w:tr>
      <w:tr w:rsidR="00D411A8" w:rsidRPr="00505137" w14:paraId="43EFF2D7" w14:textId="77777777" w:rsidTr="00911B92">
        <w:trPr>
          <w:trHeight w:val="1040"/>
        </w:trPr>
        <w:tc>
          <w:tcPr>
            <w:tcW w:w="1039" w:type="dxa"/>
            <w:vMerge w:val="restart"/>
            <w:tcBorders>
              <w:top w:val="nil"/>
              <w:left w:val="single" w:sz="4" w:space="0" w:color="auto"/>
              <w:bottom w:val="single" w:sz="4" w:space="0" w:color="auto"/>
              <w:right w:val="single" w:sz="4" w:space="0" w:color="auto"/>
            </w:tcBorders>
            <w:vAlign w:val="center"/>
            <w:hideMark/>
          </w:tcPr>
          <w:p w14:paraId="0C8D25C4" w14:textId="77777777" w:rsidR="00D411A8" w:rsidRDefault="00D411A8" w:rsidP="00911B92">
            <w:pPr>
              <w:spacing w:before="0" w:after="0" w:line="240" w:lineRule="auto"/>
              <w:jc w:val="center"/>
              <w:rPr>
                <w:rStyle w:val="FootnoteReference"/>
              </w:rPr>
            </w:pPr>
            <w:r w:rsidRPr="00505137">
              <w:rPr>
                <w:rFonts w:ascii="Calibri" w:eastAsia="Times New Roman" w:hAnsi="Calibri" w:cs="Calibri"/>
                <w:b/>
                <w:bCs/>
                <w:color w:val="000000"/>
                <w:sz w:val="18"/>
                <w:szCs w:val="18"/>
              </w:rPr>
              <w:t>Student Outcomes</w:t>
            </w:r>
            <w:r>
              <w:rPr>
                <w:rStyle w:val="FootnoteReference"/>
                <w:rFonts w:ascii="Calibri" w:eastAsia="Times New Roman" w:hAnsi="Calibri" w:cs="Calibri"/>
                <w:b/>
                <w:bCs/>
                <w:color w:val="000000"/>
                <w:sz w:val="18"/>
                <w:szCs w:val="18"/>
              </w:rPr>
              <w:footnoteReference w:id="2"/>
            </w:r>
          </w:p>
          <w:p w14:paraId="1DEE9703" w14:textId="77777777" w:rsidR="00D411A8" w:rsidRPr="00505137" w:rsidRDefault="00D411A8" w:rsidP="00911B92">
            <w:pPr>
              <w:spacing w:before="0" w:after="0" w:line="240" w:lineRule="auto"/>
              <w:jc w:val="center"/>
              <w:rPr>
                <w:rFonts w:ascii="Calibri" w:eastAsia="Times New Roman" w:hAnsi="Calibri" w:cs="Calibri"/>
                <w:b/>
                <w:bCs/>
                <w:color w:val="000000"/>
                <w:sz w:val="18"/>
                <w:szCs w:val="18"/>
              </w:rPr>
            </w:pPr>
          </w:p>
        </w:tc>
        <w:tc>
          <w:tcPr>
            <w:tcW w:w="2243" w:type="dxa"/>
            <w:tcBorders>
              <w:top w:val="nil"/>
              <w:left w:val="nil"/>
              <w:bottom w:val="single" w:sz="4" w:space="0" w:color="auto"/>
              <w:right w:val="single" w:sz="4" w:space="0" w:color="auto"/>
            </w:tcBorders>
            <w:vAlign w:val="center"/>
            <w:hideMark/>
          </w:tcPr>
          <w:p w14:paraId="65241A84"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Learn disciplinary concepts through integration of course and community settings</w:t>
            </w:r>
          </w:p>
        </w:tc>
        <w:tc>
          <w:tcPr>
            <w:tcW w:w="2163" w:type="dxa"/>
            <w:tcBorders>
              <w:top w:val="nil"/>
              <w:left w:val="nil"/>
              <w:bottom w:val="single" w:sz="4" w:space="0" w:color="auto"/>
              <w:right w:val="single" w:sz="4" w:space="0" w:color="auto"/>
            </w:tcBorders>
            <w:vAlign w:val="center"/>
            <w:hideMark/>
          </w:tcPr>
          <w:p w14:paraId="351A1E48"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Understand pathways to participation in public life</w:t>
            </w:r>
          </w:p>
        </w:tc>
        <w:tc>
          <w:tcPr>
            <w:tcW w:w="2242" w:type="dxa"/>
            <w:tcBorders>
              <w:top w:val="nil"/>
              <w:left w:val="nil"/>
              <w:bottom w:val="single" w:sz="4" w:space="0" w:color="auto"/>
              <w:right w:val="single" w:sz="4" w:space="0" w:color="auto"/>
            </w:tcBorders>
            <w:vAlign w:val="center"/>
            <w:hideMark/>
          </w:tcPr>
          <w:p w14:paraId="46089250"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Engage with community members</w:t>
            </w:r>
          </w:p>
        </w:tc>
        <w:tc>
          <w:tcPr>
            <w:tcW w:w="2245" w:type="dxa"/>
            <w:tcBorders>
              <w:top w:val="nil"/>
              <w:left w:val="nil"/>
              <w:bottom w:val="single" w:sz="4" w:space="0" w:color="auto"/>
              <w:right w:val="single" w:sz="4" w:space="0" w:color="auto"/>
            </w:tcBorders>
            <w:vAlign w:val="center"/>
            <w:hideMark/>
          </w:tcPr>
          <w:p w14:paraId="51E1DEF4"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knowledge of diverse human experiences</w:t>
            </w:r>
          </w:p>
        </w:tc>
        <w:tc>
          <w:tcPr>
            <w:tcW w:w="2239" w:type="dxa"/>
            <w:tcBorders>
              <w:top w:val="nil"/>
              <w:left w:val="nil"/>
              <w:bottom w:val="single" w:sz="4" w:space="0" w:color="auto"/>
              <w:right w:val="single" w:sz="4" w:space="0" w:color="auto"/>
            </w:tcBorders>
            <w:vAlign w:val="center"/>
            <w:hideMark/>
          </w:tcPr>
          <w:p w14:paraId="613312F3"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leadership skills</w:t>
            </w:r>
          </w:p>
        </w:tc>
        <w:tc>
          <w:tcPr>
            <w:tcW w:w="2189" w:type="dxa"/>
            <w:tcBorders>
              <w:top w:val="nil"/>
              <w:left w:val="nil"/>
              <w:bottom w:val="single" w:sz="4" w:space="0" w:color="auto"/>
              <w:right w:val="single" w:sz="4" w:space="0" w:color="auto"/>
            </w:tcBorders>
            <w:vAlign w:val="center"/>
            <w:hideMark/>
          </w:tcPr>
          <w:p w14:paraId="7F6AEC16"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active listening skills</w:t>
            </w:r>
          </w:p>
        </w:tc>
      </w:tr>
      <w:tr w:rsidR="00D411A8" w:rsidRPr="00505137" w14:paraId="76E0477C" w14:textId="77777777" w:rsidTr="00911B92">
        <w:trPr>
          <w:trHeight w:val="1040"/>
        </w:trPr>
        <w:tc>
          <w:tcPr>
            <w:tcW w:w="1039" w:type="dxa"/>
            <w:vMerge/>
            <w:tcBorders>
              <w:top w:val="nil"/>
              <w:left w:val="single" w:sz="4" w:space="0" w:color="auto"/>
              <w:bottom w:val="single" w:sz="4" w:space="0" w:color="auto"/>
              <w:right w:val="single" w:sz="4" w:space="0" w:color="auto"/>
            </w:tcBorders>
            <w:vAlign w:val="center"/>
            <w:hideMark/>
          </w:tcPr>
          <w:p w14:paraId="6743FCB1" w14:textId="77777777" w:rsidR="00D411A8" w:rsidRPr="00505137" w:rsidRDefault="00D411A8" w:rsidP="00911B92">
            <w:pPr>
              <w:spacing w:before="0" w:after="0" w:line="240" w:lineRule="auto"/>
              <w:rPr>
                <w:rFonts w:ascii="Calibri" w:eastAsia="Times New Roman" w:hAnsi="Calibri" w:cs="Calibri"/>
                <w:b/>
                <w:bCs/>
                <w:color w:val="000000"/>
                <w:sz w:val="18"/>
                <w:szCs w:val="18"/>
              </w:rPr>
            </w:pPr>
          </w:p>
        </w:tc>
        <w:tc>
          <w:tcPr>
            <w:tcW w:w="2243" w:type="dxa"/>
            <w:tcBorders>
              <w:top w:val="nil"/>
              <w:left w:val="nil"/>
              <w:bottom w:val="single" w:sz="4" w:space="0" w:color="auto"/>
              <w:right w:val="single" w:sz="4" w:space="0" w:color="auto"/>
            </w:tcBorders>
            <w:vAlign w:val="center"/>
            <w:hideMark/>
          </w:tcPr>
          <w:p w14:paraId="3642034B"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Demonstrate understanding of disciplinary concepts in an applied setting</w:t>
            </w:r>
          </w:p>
        </w:tc>
        <w:tc>
          <w:tcPr>
            <w:tcW w:w="2163" w:type="dxa"/>
            <w:tcBorders>
              <w:top w:val="nil"/>
              <w:left w:val="nil"/>
              <w:bottom w:val="single" w:sz="4" w:space="0" w:color="auto"/>
              <w:right w:val="single" w:sz="4" w:space="0" w:color="auto"/>
            </w:tcBorders>
            <w:vAlign w:val="center"/>
            <w:hideMark/>
          </w:tcPr>
          <w:p w14:paraId="1D852ACA"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the skills to participate in civic life</w:t>
            </w:r>
          </w:p>
        </w:tc>
        <w:tc>
          <w:tcPr>
            <w:tcW w:w="2242" w:type="dxa"/>
            <w:tcBorders>
              <w:top w:val="nil"/>
              <w:left w:val="nil"/>
              <w:bottom w:val="single" w:sz="4" w:space="0" w:color="auto"/>
              <w:right w:val="single" w:sz="4" w:space="0" w:color="auto"/>
            </w:tcBorders>
            <w:vAlign w:val="center"/>
            <w:hideMark/>
          </w:tcPr>
          <w:p w14:paraId="18C7595B"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independence in community-engaged work</w:t>
            </w:r>
          </w:p>
        </w:tc>
        <w:tc>
          <w:tcPr>
            <w:tcW w:w="2245" w:type="dxa"/>
            <w:tcBorders>
              <w:top w:val="nil"/>
              <w:left w:val="nil"/>
              <w:bottom w:val="single" w:sz="4" w:space="0" w:color="auto"/>
              <w:right w:val="single" w:sz="4" w:space="0" w:color="auto"/>
            </w:tcBorders>
            <w:vAlign w:val="center"/>
            <w:hideMark/>
          </w:tcPr>
          <w:p w14:paraId="32BBC6F6"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Interact effectively across differences</w:t>
            </w:r>
          </w:p>
        </w:tc>
        <w:tc>
          <w:tcPr>
            <w:tcW w:w="2239" w:type="dxa"/>
            <w:tcBorders>
              <w:top w:val="nil"/>
              <w:left w:val="nil"/>
              <w:bottom w:val="single" w:sz="4" w:space="0" w:color="auto"/>
              <w:right w:val="single" w:sz="4" w:space="0" w:color="auto"/>
            </w:tcBorders>
            <w:vAlign w:val="center"/>
            <w:hideMark/>
          </w:tcPr>
          <w:p w14:paraId="68CC891B"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ability to accurately self-assess knowledge and skills</w:t>
            </w:r>
          </w:p>
        </w:tc>
        <w:tc>
          <w:tcPr>
            <w:tcW w:w="2189" w:type="dxa"/>
            <w:tcBorders>
              <w:top w:val="nil"/>
              <w:left w:val="nil"/>
              <w:bottom w:val="single" w:sz="4" w:space="0" w:color="auto"/>
              <w:right w:val="single" w:sz="4" w:space="0" w:color="auto"/>
            </w:tcBorders>
            <w:vAlign w:val="center"/>
            <w:hideMark/>
          </w:tcPr>
          <w:p w14:paraId="09B4C46D"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interpersonal communication skills</w:t>
            </w:r>
          </w:p>
        </w:tc>
      </w:tr>
      <w:tr w:rsidR="00D411A8" w:rsidRPr="00505137" w14:paraId="22B9BB6E" w14:textId="77777777" w:rsidTr="00911B92">
        <w:trPr>
          <w:trHeight w:val="1040"/>
        </w:trPr>
        <w:tc>
          <w:tcPr>
            <w:tcW w:w="1039" w:type="dxa"/>
            <w:vMerge/>
            <w:tcBorders>
              <w:top w:val="nil"/>
              <w:left w:val="single" w:sz="4" w:space="0" w:color="auto"/>
              <w:bottom w:val="single" w:sz="4" w:space="0" w:color="auto"/>
              <w:right w:val="single" w:sz="4" w:space="0" w:color="auto"/>
            </w:tcBorders>
            <w:vAlign w:val="center"/>
            <w:hideMark/>
          </w:tcPr>
          <w:p w14:paraId="1523619A" w14:textId="77777777" w:rsidR="00D411A8" w:rsidRPr="00505137" w:rsidRDefault="00D411A8" w:rsidP="00911B92">
            <w:pPr>
              <w:spacing w:before="0" w:after="0" w:line="240" w:lineRule="auto"/>
              <w:rPr>
                <w:rFonts w:ascii="Calibri" w:eastAsia="Times New Roman" w:hAnsi="Calibri" w:cs="Calibri"/>
                <w:b/>
                <w:bCs/>
                <w:color w:val="000000"/>
                <w:sz w:val="18"/>
                <w:szCs w:val="18"/>
              </w:rPr>
            </w:pPr>
          </w:p>
        </w:tc>
        <w:tc>
          <w:tcPr>
            <w:tcW w:w="2243" w:type="dxa"/>
            <w:tcBorders>
              <w:top w:val="nil"/>
              <w:left w:val="nil"/>
              <w:bottom w:val="single" w:sz="4" w:space="0" w:color="auto"/>
              <w:right w:val="single" w:sz="4" w:space="0" w:color="auto"/>
            </w:tcBorders>
            <w:vAlign w:val="center"/>
            <w:hideMark/>
          </w:tcPr>
          <w:p w14:paraId="096406AC"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Consider the public purpose of scholarship</w:t>
            </w:r>
          </w:p>
        </w:tc>
        <w:tc>
          <w:tcPr>
            <w:tcW w:w="2163" w:type="dxa"/>
            <w:tcBorders>
              <w:top w:val="nil"/>
              <w:left w:val="nil"/>
              <w:bottom w:val="single" w:sz="4" w:space="0" w:color="auto"/>
              <w:right w:val="single" w:sz="4" w:space="0" w:color="auto"/>
            </w:tcBorders>
            <w:vAlign w:val="center"/>
            <w:hideMark/>
          </w:tcPr>
          <w:p w14:paraId="5D60B106"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and integrate civic identity</w:t>
            </w:r>
          </w:p>
        </w:tc>
        <w:tc>
          <w:tcPr>
            <w:tcW w:w="2242" w:type="dxa"/>
            <w:tcBorders>
              <w:top w:val="nil"/>
              <w:left w:val="nil"/>
              <w:bottom w:val="single" w:sz="4" w:space="0" w:color="auto"/>
              <w:right w:val="single" w:sz="4" w:space="0" w:color="auto"/>
            </w:tcBorders>
            <w:vAlign w:val="center"/>
          </w:tcPr>
          <w:p w14:paraId="61742A64"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the ability to learn through critical reflection</w:t>
            </w:r>
          </w:p>
        </w:tc>
        <w:tc>
          <w:tcPr>
            <w:tcW w:w="2245" w:type="dxa"/>
            <w:tcBorders>
              <w:top w:val="nil"/>
              <w:left w:val="nil"/>
              <w:bottom w:val="single" w:sz="4" w:space="0" w:color="auto"/>
              <w:right w:val="single" w:sz="4" w:space="0" w:color="auto"/>
            </w:tcBorders>
            <w:vAlign w:val="center"/>
            <w:hideMark/>
          </w:tcPr>
          <w:p w14:paraId="408B17CB"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a systems view of power, privilege, and bias</w:t>
            </w:r>
          </w:p>
        </w:tc>
        <w:tc>
          <w:tcPr>
            <w:tcW w:w="2239" w:type="dxa"/>
            <w:tcBorders>
              <w:top w:val="nil"/>
              <w:left w:val="nil"/>
              <w:bottom w:val="single" w:sz="4" w:space="0" w:color="auto"/>
              <w:right w:val="single" w:sz="4" w:space="0" w:color="auto"/>
            </w:tcBorders>
            <w:vAlign w:val="center"/>
            <w:hideMark/>
          </w:tcPr>
          <w:p w14:paraId="331C9BF1"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 xml:space="preserve">Develop awareness of </w:t>
            </w:r>
            <w:r>
              <w:rPr>
                <w:rFonts w:ascii="Calibri" w:eastAsia="Times New Roman" w:hAnsi="Calibri" w:cs="Calibri"/>
                <w:color w:val="000000"/>
                <w:sz w:val="18"/>
                <w:szCs w:val="18"/>
              </w:rPr>
              <w:t xml:space="preserve">personal </w:t>
            </w:r>
            <w:r w:rsidRPr="00505137">
              <w:rPr>
                <w:rFonts w:ascii="Calibri" w:eastAsia="Times New Roman" w:hAnsi="Calibri" w:cs="Calibri"/>
                <w:color w:val="000000"/>
                <w:sz w:val="18"/>
                <w:szCs w:val="18"/>
              </w:rPr>
              <w:t>identity</w:t>
            </w:r>
          </w:p>
        </w:tc>
        <w:tc>
          <w:tcPr>
            <w:tcW w:w="2189" w:type="dxa"/>
            <w:tcBorders>
              <w:top w:val="nil"/>
              <w:left w:val="nil"/>
              <w:bottom w:val="single" w:sz="4" w:space="0" w:color="auto"/>
              <w:right w:val="single" w:sz="4" w:space="0" w:color="auto"/>
            </w:tcBorders>
            <w:vAlign w:val="center"/>
            <w:hideMark/>
          </w:tcPr>
          <w:p w14:paraId="6B97342E"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teamwork and collaboration skills</w:t>
            </w:r>
          </w:p>
        </w:tc>
      </w:tr>
      <w:tr w:rsidR="00D411A8" w:rsidRPr="00505137" w14:paraId="5F7FA8E7" w14:textId="77777777" w:rsidTr="00911B92">
        <w:trPr>
          <w:trHeight w:val="1040"/>
        </w:trPr>
        <w:tc>
          <w:tcPr>
            <w:tcW w:w="1039" w:type="dxa"/>
            <w:vMerge/>
            <w:tcBorders>
              <w:top w:val="nil"/>
              <w:left w:val="single" w:sz="4" w:space="0" w:color="auto"/>
              <w:bottom w:val="single" w:sz="4" w:space="0" w:color="auto"/>
              <w:right w:val="single" w:sz="4" w:space="0" w:color="auto"/>
            </w:tcBorders>
            <w:vAlign w:val="center"/>
            <w:hideMark/>
          </w:tcPr>
          <w:p w14:paraId="4A582208" w14:textId="77777777" w:rsidR="00D411A8" w:rsidRPr="00505137" w:rsidRDefault="00D411A8" w:rsidP="00911B92">
            <w:pPr>
              <w:spacing w:before="0" w:after="0" w:line="240" w:lineRule="auto"/>
              <w:rPr>
                <w:rFonts w:ascii="Calibri" w:eastAsia="Times New Roman" w:hAnsi="Calibri" w:cs="Calibri"/>
                <w:b/>
                <w:bCs/>
                <w:color w:val="000000"/>
                <w:sz w:val="18"/>
                <w:szCs w:val="18"/>
              </w:rPr>
            </w:pPr>
          </w:p>
        </w:tc>
        <w:tc>
          <w:tcPr>
            <w:tcW w:w="2243" w:type="dxa"/>
            <w:tcBorders>
              <w:top w:val="nil"/>
              <w:left w:val="nil"/>
              <w:bottom w:val="single" w:sz="4" w:space="0" w:color="auto"/>
              <w:right w:val="single" w:sz="4" w:space="0" w:color="auto"/>
            </w:tcBorders>
            <w:vAlign w:val="center"/>
            <w:hideMark/>
          </w:tcPr>
          <w:p w14:paraId="321E7A27"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experience and skills relevant to career development</w:t>
            </w:r>
          </w:p>
        </w:tc>
        <w:tc>
          <w:tcPr>
            <w:tcW w:w="2163" w:type="dxa"/>
            <w:tcBorders>
              <w:top w:val="nil"/>
              <w:left w:val="nil"/>
              <w:bottom w:val="single" w:sz="4" w:space="0" w:color="auto"/>
              <w:right w:val="single" w:sz="4" w:space="0" w:color="auto"/>
            </w:tcBorders>
            <w:vAlign w:val="center"/>
            <w:hideMark/>
          </w:tcPr>
          <w:p w14:paraId="5640FD90"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civic agency and self-efficacy</w:t>
            </w:r>
          </w:p>
        </w:tc>
        <w:tc>
          <w:tcPr>
            <w:tcW w:w="2242" w:type="dxa"/>
            <w:tcBorders>
              <w:top w:val="nil"/>
              <w:left w:val="nil"/>
              <w:bottom w:val="single" w:sz="4" w:space="0" w:color="auto"/>
              <w:right w:val="single" w:sz="4" w:space="0" w:color="auto"/>
            </w:tcBorders>
            <w:vAlign w:val="center"/>
          </w:tcPr>
          <w:p w14:paraId="164C5D86"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Understand and adapt to the culture and context of community environments</w:t>
            </w:r>
          </w:p>
        </w:tc>
        <w:tc>
          <w:tcPr>
            <w:tcW w:w="2245" w:type="dxa"/>
            <w:tcBorders>
              <w:top w:val="nil"/>
              <w:left w:val="nil"/>
              <w:bottom w:val="single" w:sz="4" w:space="0" w:color="auto"/>
              <w:right w:val="single" w:sz="4" w:space="0" w:color="auto"/>
            </w:tcBorders>
            <w:vAlign w:val="center"/>
          </w:tcPr>
          <w:p w14:paraId="0AAC99DA"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skills to approach work with cultural humility</w:t>
            </w:r>
          </w:p>
        </w:tc>
        <w:tc>
          <w:tcPr>
            <w:tcW w:w="2239" w:type="dxa"/>
            <w:tcBorders>
              <w:top w:val="nil"/>
              <w:left w:val="nil"/>
              <w:bottom w:val="single" w:sz="4" w:space="0" w:color="auto"/>
              <w:right w:val="single" w:sz="4" w:space="0" w:color="auto"/>
            </w:tcBorders>
            <w:vAlign w:val="center"/>
            <w:hideMark/>
          </w:tcPr>
          <w:p w14:paraId="1A96EE34"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resilienc</w:t>
            </w:r>
            <w:r>
              <w:rPr>
                <w:rFonts w:ascii="Calibri" w:eastAsia="Times New Roman" w:hAnsi="Calibri" w:cs="Calibri"/>
                <w:color w:val="000000"/>
                <w:sz w:val="18"/>
                <w:szCs w:val="18"/>
              </w:rPr>
              <w:t>e</w:t>
            </w:r>
          </w:p>
        </w:tc>
        <w:tc>
          <w:tcPr>
            <w:tcW w:w="2189" w:type="dxa"/>
            <w:tcBorders>
              <w:top w:val="nil"/>
              <w:left w:val="nil"/>
              <w:bottom w:val="single" w:sz="4" w:space="0" w:color="auto"/>
              <w:right w:val="single" w:sz="4" w:space="0" w:color="auto"/>
            </w:tcBorders>
            <w:vAlign w:val="center"/>
            <w:hideMark/>
          </w:tcPr>
          <w:p w14:paraId="2B3D0899"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and maintain authentic relationships</w:t>
            </w:r>
          </w:p>
        </w:tc>
      </w:tr>
      <w:tr w:rsidR="00D411A8" w:rsidRPr="00505137" w14:paraId="709B88D3" w14:textId="77777777" w:rsidTr="00911B92">
        <w:trPr>
          <w:trHeight w:val="1040"/>
        </w:trPr>
        <w:tc>
          <w:tcPr>
            <w:tcW w:w="1039" w:type="dxa"/>
            <w:vMerge/>
            <w:tcBorders>
              <w:top w:val="nil"/>
              <w:left w:val="single" w:sz="4" w:space="0" w:color="auto"/>
              <w:bottom w:val="single" w:sz="4" w:space="0" w:color="auto"/>
              <w:right w:val="single" w:sz="4" w:space="0" w:color="auto"/>
            </w:tcBorders>
            <w:vAlign w:val="center"/>
            <w:hideMark/>
          </w:tcPr>
          <w:p w14:paraId="3F7F7F28" w14:textId="77777777" w:rsidR="00D411A8" w:rsidRPr="00505137" w:rsidRDefault="00D411A8" w:rsidP="00911B92">
            <w:pPr>
              <w:spacing w:before="0" w:after="0" w:line="240" w:lineRule="auto"/>
              <w:rPr>
                <w:rFonts w:ascii="Calibri" w:eastAsia="Times New Roman" w:hAnsi="Calibri" w:cs="Calibri"/>
                <w:b/>
                <w:bCs/>
                <w:color w:val="000000"/>
                <w:sz w:val="18"/>
                <w:szCs w:val="18"/>
              </w:rPr>
            </w:pPr>
          </w:p>
        </w:tc>
        <w:tc>
          <w:tcPr>
            <w:tcW w:w="2243" w:type="dxa"/>
            <w:tcBorders>
              <w:top w:val="nil"/>
              <w:left w:val="nil"/>
              <w:bottom w:val="single" w:sz="4" w:space="0" w:color="auto"/>
              <w:right w:val="single" w:sz="4" w:space="0" w:color="auto"/>
            </w:tcBorders>
            <w:vAlign w:val="center"/>
          </w:tcPr>
          <w:p w14:paraId="193E0830"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Articulate the value and challenges of translating theory into practice </w:t>
            </w:r>
          </w:p>
        </w:tc>
        <w:tc>
          <w:tcPr>
            <w:tcW w:w="2163" w:type="dxa"/>
            <w:tcBorders>
              <w:top w:val="nil"/>
              <w:left w:val="nil"/>
              <w:bottom w:val="single" w:sz="4" w:space="0" w:color="auto"/>
              <w:right w:val="single" w:sz="4" w:space="0" w:color="auto"/>
            </w:tcBorders>
            <w:vAlign w:val="center"/>
            <w:hideMark/>
          </w:tcPr>
          <w:p w14:paraId="7BCCC711"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knowledge of contemporary societal issues </w:t>
            </w:r>
          </w:p>
        </w:tc>
        <w:tc>
          <w:tcPr>
            <w:tcW w:w="2242" w:type="dxa"/>
            <w:tcBorders>
              <w:top w:val="nil"/>
              <w:left w:val="nil"/>
              <w:bottom w:val="single" w:sz="4" w:space="0" w:color="auto"/>
              <w:right w:val="single" w:sz="4" w:space="0" w:color="auto"/>
            </w:tcBorders>
            <w:vAlign w:val="center"/>
          </w:tcPr>
          <w:p w14:paraId="79FDC8C4"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Understand how large social forces are localized in the community</w:t>
            </w:r>
          </w:p>
        </w:tc>
        <w:tc>
          <w:tcPr>
            <w:tcW w:w="2245" w:type="dxa"/>
            <w:tcBorders>
              <w:top w:val="nil"/>
              <w:left w:val="nil"/>
              <w:bottom w:val="single" w:sz="4" w:space="0" w:color="auto"/>
              <w:right w:val="single" w:sz="4" w:space="0" w:color="auto"/>
            </w:tcBorders>
            <w:vAlign w:val="center"/>
          </w:tcPr>
          <w:p w14:paraId="180BEF22"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 xml:space="preserve">Recognize and honor individual lived experience and </w:t>
            </w:r>
            <w:r>
              <w:rPr>
                <w:rFonts w:ascii="Calibri" w:eastAsia="Times New Roman" w:hAnsi="Calibri" w:cs="Calibri"/>
                <w:color w:val="000000"/>
                <w:sz w:val="18"/>
                <w:szCs w:val="18"/>
              </w:rPr>
              <w:t>c</w:t>
            </w:r>
            <w:r w:rsidRPr="00505137">
              <w:rPr>
                <w:rFonts w:ascii="Calibri" w:eastAsia="Times New Roman" w:hAnsi="Calibri" w:cs="Calibri"/>
                <w:color w:val="000000"/>
                <w:sz w:val="18"/>
                <w:szCs w:val="18"/>
              </w:rPr>
              <w:t>ontributions of others </w:t>
            </w:r>
          </w:p>
        </w:tc>
        <w:tc>
          <w:tcPr>
            <w:tcW w:w="2239" w:type="dxa"/>
            <w:tcBorders>
              <w:top w:val="nil"/>
              <w:left w:val="nil"/>
              <w:bottom w:val="single" w:sz="4" w:space="0" w:color="auto"/>
              <w:right w:val="single" w:sz="4" w:space="0" w:color="auto"/>
            </w:tcBorders>
            <w:vAlign w:val="center"/>
            <w:hideMark/>
          </w:tcPr>
          <w:p w14:paraId="1CE19C6F"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Act in an ethical and socially responsible manner</w:t>
            </w:r>
          </w:p>
        </w:tc>
        <w:tc>
          <w:tcPr>
            <w:tcW w:w="2189" w:type="dxa"/>
            <w:tcBorders>
              <w:top w:val="nil"/>
              <w:left w:val="nil"/>
              <w:bottom w:val="single" w:sz="4" w:space="0" w:color="auto"/>
              <w:right w:val="single" w:sz="4" w:space="0" w:color="auto"/>
            </w:tcBorders>
            <w:vAlign w:val="center"/>
            <w:hideMark/>
          </w:tcPr>
          <w:p w14:paraId="163B00D4"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Engage controversial social issues with civility </w:t>
            </w:r>
          </w:p>
        </w:tc>
      </w:tr>
      <w:tr w:rsidR="00D411A8" w:rsidRPr="00505137" w14:paraId="52658B98" w14:textId="77777777" w:rsidTr="00911B92">
        <w:trPr>
          <w:trHeight w:val="1040"/>
        </w:trPr>
        <w:tc>
          <w:tcPr>
            <w:tcW w:w="1039" w:type="dxa"/>
            <w:vMerge/>
            <w:tcBorders>
              <w:top w:val="nil"/>
              <w:left w:val="single" w:sz="4" w:space="0" w:color="auto"/>
              <w:bottom w:val="single" w:sz="4" w:space="0" w:color="auto"/>
              <w:right w:val="single" w:sz="4" w:space="0" w:color="auto"/>
            </w:tcBorders>
            <w:vAlign w:val="center"/>
            <w:hideMark/>
          </w:tcPr>
          <w:p w14:paraId="19DCEF41" w14:textId="77777777" w:rsidR="00D411A8" w:rsidRPr="00505137" w:rsidRDefault="00D411A8" w:rsidP="00911B92">
            <w:pPr>
              <w:spacing w:before="0" w:after="0" w:line="240" w:lineRule="auto"/>
              <w:rPr>
                <w:rFonts w:ascii="Calibri" w:eastAsia="Times New Roman" w:hAnsi="Calibri" w:cs="Calibri"/>
                <w:b/>
                <w:bCs/>
                <w:color w:val="000000"/>
                <w:sz w:val="18"/>
                <w:szCs w:val="18"/>
              </w:rPr>
            </w:pPr>
          </w:p>
        </w:tc>
        <w:tc>
          <w:tcPr>
            <w:tcW w:w="2243" w:type="dxa"/>
            <w:tcBorders>
              <w:top w:val="nil"/>
              <w:left w:val="nil"/>
              <w:bottom w:val="single" w:sz="4" w:space="0" w:color="auto"/>
              <w:right w:val="single" w:sz="4" w:space="0" w:color="auto"/>
            </w:tcBorders>
            <w:vAlign w:val="center"/>
          </w:tcPr>
          <w:p w14:paraId="4BD359F8"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p>
        </w:tc>
        <w:tc>
          <w:tcPr>
            <w:tcW w:w="2163" w:type="dxa"/>
            <w:tcBorders>
              <w:top w:val="nil"/>
              <w:left w:val="nil"/>
              <w:bottom w:val="single" w:sz="4" w:space="0" w:color="auto"/>
              <w:right w:val="single" w:sz="4" w:space="0" w:color="auto"/>
            </w:tcBorders>
            <w:vAlign w:val="center"/>
            <w:hideMark/>
          </w:tcPr>
          <w:p w14:paraId="062F5245"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p>
        </w:tc>
        <w:tc>
          <w:tcPr>
            <w:tcW w:w="2242" w:type="dxa"/>
            <w:tcBorders>
              <w:top w:val="nil"/>
              <w:left w:val="nil"/>
              <w:bottom w:val="single" w:sz="4" w:space="0" w:color="auto"/>
              <w:right w:val="single" w:sz="4" w:space="0" w:color="auto"/>
            </w:tcBorders>
            <w:vAlign w:val="center"/>
            <w:hideMark/>
          </w:tcPr>
          <w:p w14:paraId="6073C601"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 xml:space="preserve">Value community engagement and collective action to </w:t>
            </w:r>
            <w:r>
              <w:rPr>
                <w:rFonts w:ascii="Calibri" w:eastAsia="Times New Roman" w:hAnsi="Calibri" w:cs="Calibri"/>
                <w:color w:val="000000"/>
                <w:sz w:val="18"/>
                <w:szCs w:val="18"/>
              </w:rPr>
              <w:t>a</w:t>
            </w:r>
            <w:r w:rsidRPr="00505137">
              <w:rPr>
                <w:rFonts w:ascii="Calibri" w:eastAsia="Times New Roman" w:hAnsi="Calibri" w:cs="Calibri"/>
                <w:color w:val="000000"/>
                <w:sz w:val="18"/>
                <w:szCs w:val="18"/>
              </w:rPr>
              <w:t>ffect social change</w:t>
            </w:r>
          </w:p>
        </w:tc>
        <w:tc>
          <w:tcPr>
            <w:tcW w:w="2245" w:type="dxa"/>
            <w:tcBorders>
              <w:top w:val="nil"/>
              <w:left w:val="nil"/>
              <w:bottom w:val="single" w:sz="4" w:space="0" w:color="auto"/>
              <w:right w:val="single" w:sz="4" w:space="0" w:color="auto"/>
            </w:tcBorders>
            <w:vAlign w:val="center"/>
          </w:tcPr>
          <w:p w14:paraId="54800342"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p>
        </w:tc>
        <w:tc>
          <w:tcPr>
            <w:tcW w:w="2239" w:type="dxa"/>
            <w:tcBorders>
              <w:top w:val="nil"/>
              <w:left w:val="nil"/>
              <w:bottom w:val="single" w:sz="4" w:space="0" w:color="auto"/>
              <w:right w:val="single" w:sz="4" w:space="0" w:color="auto"/>
            </w:tcBorders>
            <w:vAlign w:val="center"/>
            <w:hideMark/>
          </w:tcPr>
          <w:p w14:paraId="4E09CE39"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r w:rsidRPr="00505137">
              <w:rPr>
                <w:rFonts w:ascii="Calibri" w:eastAsia="Times New Roman" w:hAnsi="Calibri" w:cs="Calibri"/>
                <w:color w:val="000000"/>
                <w:sz w:val="18"/>
                <w:szCs w:val="18"/>
              </w:rPr>
              <w:t>Develop a values framework through which societal and institutional structures can be interrogated</w:t>
            </w:r>
          </w:p>
        </w:tc>
        <w:tc>
          <w:tcPr>
            <w:tcW w:w="2189" w:type="dxa"/>
            <w:tcBorders>
              <w:top w:val="nil"/>
              <w:left w:val="nil"/>
              <w:bottom w:val="single" w:sz="4" w:space="0" w:color="auto"/>
              <w:right w:val="single" w:sz="4" w:space="0" w:color="auto"/>
            </w:tcBorders>
            <w:vAlign w:val="center"/>
          </w:tcPr>
          <w:p w14:paraId="693932FA" w14:textId="77777777" w:rsidR="00D411A8" w:rsidRPr="00505137" w:rsidRDefault="00D411A8" w:rsidP="00911B92">
            <w:pPr>
              <w:spacing w:before="0" w:after="0" w:line="240" w:lineRule="auto"/>
              <w:jc w:val="center"/>
              <w:rPr>
                <w:rFonts w:ascii="Calibri" w:eastAsia="Times New Roman" w:hAnsi="Calibri" w:cs="Calibri"/>
                <w:color w:val="000000"/>
                <w:sz w:val="18"/>
                <w:szCs w:val="18"/>
              </w:rPr>
            </w:pPr>
          </w:p>
        </w:tc>
      </w:tr>
    </w:tbl>
    <w:p w14:paraId="4A19F155" w14:textId="1413B99E" w:rsidR="00D072C9" w:rsidRPr="00112825" w:rsidRDefault="00D411A8" w:rsidP="00D411A8">
      <w:pPr>
        <w:spacing w:before="100" w:beforeAutospacing="1" w:after="100" w:afterAutospacing="1" w:line="240" w:lineRule="auto"/>
        <w:rPr>
          <w:bCs/>
          <w:sz w:val="24"/>
          <w:szCs w:val="24"/>
        </w:rPr>
      </w:pPr>
      <w:r w:rsidRPr="00060CD0">
        <w:rPr>
          <w:rFonts w:ascii="Times New Roman" w:eastAsia="Times New Roman" w:hAnsi="Times New Roman" w:cs="Times New Roman"/>
          <w:i/>
          <w:iCs/>
        </w:rPr>
        <w:t>This framework is used to guide community engaged programming at WISCIENC</w:t>
      </w:r>
      <w:r>
        <w:rPr>
          <w:rFonts w:ascii="Times New Roman" w:eastAsia="Times New Roman" w:hAnsi="Times New Roman" w:cs="Times New Roman"/>
          <w:i/>
          <w:iCs/>
        </w:rPr>
        <w:t xml:space="preserve">E, </w:t>
      </w:r>
      <w:r w:rsidRPr="00060CD0">
        <w:rPr>
          <w:rFonts w:ascii="Times New Roman" w:eastAsia="Times New Roman" w:hAnsi="Times New Roman" w:cs="Times New Roman"/>
          <w:i/>
          <w:iCs/>
        </w:rPr>
        <w:t>is available for other educators to use</w:t>
      </w:r>
      <w:r>
        <w:rPr>
          <w:rFonts w:ascii="Times New Roman" w:eastAsia="Times New Roman" w:hAnsi="Times New Roman" w:cs="Times New Roman"/>
          <w:i/>
          <w:iCs/>
        </w:rPr>
        <w:t>,</w:t>
      </w:r>
      <w:r w:rsidRPr="00605B84">
        <w:rPr>
          <w:rFonts w:ascii="Times New Roman" w:eastAsia="Times New Roman" w:hAnsi="Times New Roman" w:cs="Times New Roman"/>
          <w:i/>
          <w:iCs/>
        </w:rPr>
        <w:t xml:space="preserve"> </w:t>
      </w:r>
      <w:r w:rsidRPr="00605B84">
        <w:rPr>
          <w:rFonts w:ascii="Times New Roman" w:hAnsi="Times New Roman" w:cs="Times New Roman"/>
          <w:i/>
          <w:iCs/>
        </w:rPr>
        <w:t xml:space="preserve">and is licensed under </w:t>
      </w:r>
      <w:hyperlink r:id="rId9" w:history="1">
        <w:r w:rsidRPr="00605B84">
          <w:rPr>
            <w:rStyle w:val="Hyperlink"/>
            <w:rFonts w:ascii="Times New Roman" w:hAnsi="Times New Roman" w:cs="Times New Roman"/>
            <w:i/>
            <w:iCs/>
          </w:rPr>
          <w:t>CC BY-NC 4.0</w:t>
        </w:r>
      </w:hyperlink>
      <w:r w:rsidRPr="00060CD0">
        <w:rPr>
          <w:rFonts w:ascii="Times New Roman" w:eastAsia="Times New Roman" w:hAnsi="Times New Roman" w:cs="Times New Roman"/>
          <w:i/>
          <w:iCs/>
        </w:rPr>
        <w:t>. It was</w:t>
      </w:r>
      <w:r w:rsidRPr="00060CD0">
        <w:rPr>
          <w:rFonts w:ascii="Times New Roman" w:eastAsia="Times New Roman" w:hAnsi="Times New Roman" w:cs="Times New Roman"/>
        </w:rPr>
        <w:t xml:space="preserve"> </w:t>
      </w:r>
      <w:r w:rsidRPr="00060CD0">
        <w:rPr>
          <w:rFonts w:ascii="Times New Roman" w:eastAsia="Times New Roman" w:hAnsi="Times New Roman" w:cs="Times New Roman"/>
          <w:i/>
          <w:iCs/>
        </w:rPr>
        <w:t>developed by Jessica TeSlaa (WISCIENCE) and Mo Bischof (Office of Assessment</w:t>
      </w:r>
      <w:proofErr w:type="gramStart"/>
      <w:r w:rsidRPr="00060CD0">
        <w:rPr>
          <w:rFonts w:ascii="Times New Roman" w:eastAsia="Times New Roman" w:hAnsi="Times New Roman" w:cs="Times New Roman"/>
          <w:i/>
          <w:iCs/>
        </w:rPr>
        <w:t>), and</w:t>
      </w:r>
      <w:proofErr w:type="gramEnd"/>
      <w:r w:rsidRPr="00060CD0">
        <w:rPr>
          <w:rFonts w:ascii="Times New Roman" w:eastAsia="Times New Roman" w:hAnsi="Times New Roman" w:cs="Times New Roman"/>
          <w:i/>
          <w:iCs/>
        </w:rPr>
        <w:t xml:space="preserve"> </w:t>
      </w:r>
      <w:r>
        <w:rPr>
          <w:rFonts w:ascii="Times New Roman" w:eastAsia="Times New Roman" w:hAnsi="Times New Roman" w:cs="Times New Roman"/>
          <w:i/>
          <w:iCs/>
        </w:rPr>
        <w:t>adapted by Anna Courtier (WISCIENCE</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It was </w:t>
      </w:r>
      <w:r w:rsidRPr="00060CD0">
        <w:rPr>
          <w:rFonts w:ascii="Times New Roman" w:eastAsia="Times New Roman" w:hAnsi="Times New Roman" w:cs="Times New Roman"/>
          <w:i/>
          <w:iCs/>
        </w:rPr>
        <w:t>funded by an Undergraduate Science Education grant from the Howard Hughes Medical Institute to the University of Wisconsin–Madison (#52006959) and by the Wisconsin Institute for Science Education and Community Engagement (WISCIENC</w:t>
      </w:r>
      <w:r>
        <w:rPr>
          <w:rFonts w:ascii="Times New Roman" w:eastAsia="Times New Roman" w:hAnsi="Times New Roman" w:cs="Times New Roman"/>
          <w:i/>
          <w:iCs/>
        </w:rPr>
        <w:t>E).</w:t>
      </w:r>
      <w:r w:rsidRPr="00112825">
        <w:rPr>
          <w:bCs/>
          <w:sz w:val="24"/>
          <w:szCs w:val="24"/>
        </w:rPr>
        <w:t xml:space="preserve"> </w:t>
      </w:r>
    </w:p>
    <w:sectPr w:rsidR="00D072C9" w:rsidRPr="00112825" w:rsidSect="00D411A8">
      <w:footnotePr>
        <w:numRestart w:val="eachPage"/>
      </w:footnotePr>
      <w:pgSz w:w="15840" w:h="12240" w:orient="landscape"/>
      <w:pgMar w:top="720" w:right="806"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E5F1A" w14:textId="77777777" w:rsidR="00A85CBC" w:rsidRDefault="00A85CBC" w:rsidP="00505137">
      <w:pPr>
        <w:spacing w:before="0" w:after="0" w:line="240" w:lineRule="auto"/>
      </w:pPr>
      <w:r>
        <w:separator/>
      </w:r>
    </w:p>
  </w:endnote>
  <w:endnote w:type="continuationSeparator" w:id="0">
    <w:p w14:paraId="383B5167" w14:textId="77777777" w:rsidR="00A85CBC" w:rsidRDefault="00A85CBC" w:rsidP="0050513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0946035"/>
      <w:docPartObj>
        <w:docPartGallery w:val="Page Numbers (Bottom of Page)"/>
        <w:docPartUnique/>
      </w:docPartObj>
    </w:sdtPr>
    <w:sdtContent>
      <w:p w14:paraId="7C0FA209" w14:textId="77777777" w:rsidR="00160B86" w:rsidRDefault="00160B86" w:rsidP="004C1A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DF47CE" w14:textId="73D66373" w:rsidR="007E7D2D" w:rsidRPr="001E21B3" w:rsidRDefault="007E7D2D" w:rsidP="00764C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CDBE2" w14:textId="77777777" w:rsidR="00A85CBC" w:rsidRDefault="00A85CBC" w:rsidP="00505137">
      <w:pPr>
        <w:spacing w:before="0" w:after="0" w:line="240" w:lineRule="auto"/>
      </w:pPr>
      <w:r>
        <w:separator/>
      </w:r>
    </w:p>
  </w:footnote>
  <w:footnote w:type="continuationSeparator" w:id="0">
    <w:p w14:paraId="1A424ECC" w14:textId="77777777" w:rsidR="00A85CBC" w:rsidRDefault="00A85CBC" w:rsidP="00505137">
      <w:pPr>
        <w:spacing w:before="0" w:after="0" w:line="240" w:lineRule="auto"/>
      </w:pPr>
      <w:r>
        <w:continuationSeparator/>
      </w:r>
    </w:p>
  </w:footnote>
  <w:footnote w:id="1">
    <w:p w14:paraId="1CA919D7" w14:textId="77777777" w:rsidR="00D411A8" w:rsidRDefault="00D411A8" w:rsidP="00D411A8">
      <w:pPr>
        <w:pStyle w:val="FootnoteText"/>
      </w:pPr>
      <w:r>
        <w:rPr>
          <w:rStyle w:val="FootnoteReference"/>
        </w:rPr>
        <w:footnoteRef/>
      </w:r>
      <w:r>
        <w:t xml:space="preserve"> </w:t>
      </w:r>
      <w:r w:rsidRPr="00B00192">
        <w:rPr>
          <w:b/>
          <w:sz w:val="18"/>
        </w:rPr>
        <w:t>Le</w:t>
      </w:r>
      <w:r>
        <w:rPr>
          <w:b/>
          <w:sz w:val="18"/>
        </w:rPr>
        <w:t>ar</w:t>
      </w:r>
      <w:r w:rsidRPr="00B00192">
        <w:rPr>
          <w:b/>
          <w:sz w:val="18"/>
        </w:rPr>
        <w:t>ning domains</w:t>
      </w:r>
      <w:r w:rsidRPr="00B00192">
        <w:rPr>
          <w:sz w:val="18"/>
        </w:rPr>
        <w:t xml:space="preserve"> – Broad categories encompassing multiple student outcomes, generated both through participatory workshops with CBL instructors and by consulting the literature.</w:t>
      </w:r>
    </w:p>
  </w:footnote>
  <w:footnote w:id="2">
    <w:p w14:paraId="1E511BDC" w14:textId="77777777" w:rsidR="00D411A8" w:rsidRDefault="00D411A8" w:rsidP="00D411A8">
      <w:pPr>
        <w:pStyle w:val="FootnoteText"/>
      </w:pPr>
      <w:r>
        <w:rPr>
          <w:rStyle w:val="FootnoteReference"/>
        </w:rPr>
        <w:footnoteRef/>
      </w:r>
      <w:r>
        <w:t xml:space="preserve"> </w:t>
      </w:r>
      <w:r w:rsidRPr="00B00192">
        <w:rPr>
          <w:b/>
          <w:sz w:val="18"/>
        </w:rPr>
        <w:t>Student outcomes</w:t>
      </w:r>
      <w:r w:rsidRPr="00B00192">
        <w:rPr>
          <w:sz w:val="18"/>
        </w:rPr>
        <w:t xml:space="preserve"> – Areas of focus which an instructor might use to guide development of clear and measurable learning outcomes or objectives.  As written in the framework, they are generally too broad to be considered </w:t>
      </w:r>
      <w:r>
        <w:rPr>
          <w:sz w:val="18"/>
        </w:rPr>
        <w:t>specific</w:t>
      </w:r>
      <w:r w:rsidRPr="00B00192">
        <w:rPr>
          <w:sz w:val="18"/>
        </w:rPr>
        <w:t xml:space="preserve"> learning outcomes themselves.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0B1"/>
    <w:multiLevelType w:val="multilevel"/>
    <w:tmpl w:val="2072FEE4"/>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260448A"/>
    <w:multiLevelType w:val="hybridMultilevel"/>
    <w:tmpl w:val="54603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646E95"/>
    <w:multiLevelType w:val="hybridMultilevel"/>
    <w:tmpl w:val="62804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50679"/>
    <w:multiLevelType w:val="hybridMultilevel"/>
    <w:tmpl w:val="CAF6B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48674D"/>
    <w:multiLevelType w:val="hybridMultilevel"/>
    <w:tmpl w:val="FF4E1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D463B9"/>
    <w:multiLevelType w:val="multilevel"/>
    <w:tmpl w:val="E3EA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55A00"/>
    <w:multiLevelType w:val="hybridMultilevel"/>
    <w:tmpl w:val="FDBA6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C2861"/>
    <w:multiLevelType w:val="multilevel"/>
    <w:tmpl w:val="D5165430"/>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440" w:hanging="360"/>
      </w:pPr>
      <w:rPr>
        <w:rFonts w:ascii="Courier New" w:hAnsi="Courier New" w:hint="default"/>
      </w:r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8" w15:restartNumberingAfterBreak="0">
    <w:nsid w:val="16ED3E9B"/>
    <w:multiLevelType w:val="hybridMultilevel"/>
    <w:tmpl w:val="ED50D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63662B"/>
    <w:multiLevelType w:val="hybridMultilevel"/>
    <w:tmpl w:val="C7F4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32411"/>
    <w:multiLevelType w:val="multilevel"/>
    <w:tmpl w:val="AB6606A0"/>
    <w:lvl w:ilvl="0">
      <w:start w:val="1"/>
      <w:numFmt w:val="decimal"/>
      <w:lvlText w:val="%1."/>
      <w:lvlJc w:val="left"/>
      <w:pPr>
        <w:tabs>
          <w:tab w:val="num" w:pos="360"/>
        </w:tabs>
        <w:ind w:left="360" w:hanging="360"/>
      </w:pPr>
    </w:lvl>
    <w:lvl w:ilvl="1">
      <w:start w:val="1"/>
      <w:numFmt w:val="bullet"/>
      <w:lvlText w:val="o"/>
      <w:lvlJc w:val="left"/>
      <w:pPr>
        <w:ind w:left="1440" w:hanging="360"/>
      </w:pPr>
      <w:rPr>
        <w:rFonts w:ascii="Courier New" w:hAnsi="Courier New"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A141C09"/>
    <w:multiLevelType w:val="hybridMultilevel"/>
    <w:tmpl w:val="82B496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52605"/>
    <w:multiLevelType w:val="hybridMultilevel"/>
    <w:tmpl w:val="B330B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C86414"/>
    <w:multiLevelType w:val="hybridMultilevel"/>
    <w:tmpl w:val="0B561E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C1184D"/>
    <w:multiLevelType w:val="hybridMultilevel"/>
    <w:tmpl w:val="F28C76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D611B5"/>
    <w:multiLevelType w:val="multilevel"/>
    <w:tmpl w:val="F124772C"/>
    <w:lvl w:ilvl="0">
      <w:start w:val="1"/>
      <w:numFmt w:val="decimal"/>
      <w:lvlText w:val="%1."/>
      <w:lvlJc w:val="left"/>
      <w:pPr>
        <w:tabs>
          <w:tab w:val="num" w:pos="360"/>
        </w:tabs>
        <w:ind w:left="360" w:hanging="360"/>
      </w:pPr>
    </w:lvl>
    <w:lvl w:ilvl="1">
      <w:start w:val="1"/>
      <w:numFmt w:val="bullet"/>
      <w:lvlText w:val="o"/>
      <w:lvlJc w:val="left"/>
      <w:pPr>
        <w:ind w:left="720" w:hanging="360"/>
      </w:pPr>
      <w:rPr>
        <w:rFonts w:ascii="Courier New" w:hAnsi="Courier New"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4D9069D"/>
    <w:multiLevelType w:val="hybridMultilevel"/>
    <w:tmpl w:val="FB163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31520E"/>
    <w:multiLevelType w:val="hybridMultilevel"/>
    <w:tmpl w:val="47FA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216A11"/>
    <w:multiLevelType w:val="multilevel"/>
    <w:tmpl w:val="960E0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FF30B8"/>
    <w:multiLevelType w:val="hybridMultilevel"/>
    <w:tmpl w:val="6688DDAA"/>
    <w:lvl w:ilvl="0" w:tplc="9418EBD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F0595"/>
    <w:multiLevelType w:val="multilevel"/>
    <w:tmpl w:val="CED440D4"/>
    <w:lvl w:ilvl="0">
      <w:start w:val="1"/>
      <w:numFmt w:val="decimal"/>
      <w:lvlText w:val="%1."/>
      <w:lvlJc w:val="left"/>
      <w:pPr>
        <w:tabs>
          <w:tab w:val="num" w:pos="360"/>
        </w:tabs>
        <w:ind w:left="360" w:hanging="360"/>
      </w:p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53716607"/>
    <w:multiLevelType w:val="hybridMultilevel"/>
    <w:tmpl w:val="F28C76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6272ED"/>
    <w:multiLevelType w:val="hybridMultilevel"/>
    <w:tmpl w:val="7F8A4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13296B"/>
    <w:multiLevelType w:val="hybridMultilevel"/>
    <w:tmpl w:val="35D80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22898"/>
    <w:multiLevelType w:val="multilevel"/>
    <w:tmpl w:val="F572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606545"/>
    <w:multiLevelType w:val="hybridMultilevel"/>
    <w:tmpl w:val="859AE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F3B3B"/>
    <w:multiLevelType w:val="multilevel"/>
    <w:tmpl w:val="0512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325DE0"/>
    <w:multiLevelType w:val="hybridMultilevel"/>
    <w:tmpl w:val="555C1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C73D29"/>
    <w:multiLevelType w:val="multilevel"/>
    <w:tmpl w:val="3FFA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3325E"/>
    <w:multiLevelType w:val="hybridMultilevel"/>
    <w:tmpl w:val="D848FA46"/>
    <w:lvl w:ilvl="0" w:tplc="802C84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0442CD"/>
    <w:multiLevelType w:val="hybridMultilevel"/>
    <w:tmpl w:val="CC0C7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545F8B"/>
    <w:multiLevelType w:val="hybridMultilevel"/>
    <w:tmpl w:val="64A80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8947A4"/>
    <w:multiLevelType w:val="multilevel"/>
    <w:tmpl w:val="F400689A"/>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start w:val="1"/>
      <w:numFmt w:val="bullet"/>
      <w:lvlText w:val="o"/>
      <w:lvlJc w:val="left"/>
      <w:pPr>
        <w:ind w:left="1800" w:hanging="360"/>
      </w:pPr>
      <w:rPr>
        <w:rFonts w:ascii="Courier New" w:hAnsi="Courier New"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732363EA"/>
    <w:multiLevelType w:val="hybridMultilevel"/>
    <w:tmpl w:val="48D4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433472"/>
    <w:multiLevelType w:val="hybridMultilevel"/>
    <w:tmpl w:val="708E60DA"/>
    <w:lvl w:ilvl="0" w:tplc="89C857E8">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8E556E"/>
    <w:multiLevelType w:val="hybridMultilevel"/>
    <w:tmpl w:val="3B12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B94997"/>
    <w:multiLevelType w:val="multilevel"/>
    <w:tmpl w:val="B724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833D28"/>
    <w:multiLevelType w:val="hybridMultilevel"/>
    <w:tmpl w:val="DDEC5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29642F"/>
    <w:multiLevelType w:val="multilevel"/>
    <w:tmpl w:val="55AE4D9A"/>
    <w:lvl w:ilvl="0">
      <w:start w:val="1"/>
      <w:numFmt w:val="decimal"/>
      <w:lvlText w:val="%1."/>
      <w:lvlJc w:val="left"/>
      <w:pPr>
        <w:tabs>
          <w:tab w:val="num" w:pos="360"/>
        </w:tabs>
        <w:ind w:left="360" w:hanging="360"/>
      </w:pPr>
    </w:lvl>
    <w:lvl w:ilvl="1">
      <w:start w:val="1"/>
      <w:numFmt w:val="bullet"/>
      <w:lvlText w:val="o"/>
      <w:lvlJc w:val="left"/>
      <w:pPr>
        <w:ind w:left="1080" w:hanging="360"/>
      </w:pPr>
      <w:rPr>
        <w:rFonts w:ascii="Courier New" w:hAnsi="Courier New"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A695036"/>
    <w:multiLevelType w:val="multilevel"/>
    <w:tmpl w:val="F36037EE"/>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start w:val="1"/>
      <w:numFmt w:val="bullet"/>
      <w:lvlText w:val="o"/>
      <w:lvlJc w:val="left"/>
      <w:pPr>
        <w:ind w:left="720" w:hanging="360"/>
      </w:pPr>
      <w:rPr>
        <w:rFonts w:ascii="Courier New" w:hAnsi="Courier New" w:hint="default"/>
      </w:rPr>
    </w:lvl>
    <w:lvl w:ilvl="3">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D32339F"/>
    <w:multiLevelType w:val="hybridMultilevel"/>
    <w:tmpl w:val="E0B87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107531"/>
    <w:multiLevelType w:val="multilevel"/>
    <w:tmpl w:val="5DE0E8B8"/>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start w:val="1"/>
      <w:numFmt w:val="bullet"/>
      <w:lvlText w:val="o"/>
      <w:lvlJc w:val="left"/>
      <w:pPr>
        <w:ind w:left="1440" w:hanging="360"/>
      </w:pPr>
      <w:rPr>
        <w:rFonts w:ascii="Courier New" w:hAnsi="Courier New"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78777530">
    <w:abstractNumId w:val="14"/>
  </w:num>
  <w:num w:numId="2" w16cid:durableId="238028229">
    <w:abstractNumId w:val="2"/>
  </w:num>
  <w:num w:numId="3" w16cid:durableId="1620532778">
    <w:abstractNumId w:val="9"/>
  </w:num>
  <w:num w:numId="4" w16cid:durableId="263418440">
    <w:abstractNumId w:val="16"/>
  </w:num>
  <w:num w:numId="5" w16cid:durableId="1378091037">
    <w:abstractNumId w:val="40"/>
  </w:num>
  <w:num w:numId="6" w16cid:durableId="1252085394">
    <w:abstractNumId w:val="3"/>
  </w:num>
  <w:num w:numId="7" w16cid:durableId="1057586551">
    <w:abstractNumId w:val="11"/>
  </w:num>
  <w:num w:numId="8" w16cid:durableId="1582058612">
    <w:abstractNumId w:val="19"/>
  </w:num>
  <w:num w:numId="9" w16cid:durableId="451751874">
    <w:abstractNumId w:val="32"/>
  </w:num>
  <w:num w:numId="10" w16cid:durableId="1601142031">
    <w:abstractNumId w:val="25"/>
  </w:num>
  <w:num w:numId="11" w16cid:durableId="426510229">
    <w:abstractNumId w:val="4"/>
  </w:num>
  <w:num w:numId="12" w16cid:durableId="545991988">
    <w:abstractNumId w:val="7"/>
  </w:num>
  <w:num w:numId="13" w16cid:durableId="185097328">
    <w:abstractNumId w:val="38"/>
  </w:num>
  <w:num w:numId="14" w16cid:durableId="477187105">
    <w:abstractNumId w:val="34"/>
  </w:num>
  <w:num w:numId="15" w16cid:durableId="699748493">
    <w:abstractNumId w:val="0"/>
  </w:num>
  <w:num w:numId="16" w16cid:durableId="929042430">
    <w:abstractNumId w:val="39"/>
  </w:num>
  <w:num w:numId="17" w16cid:durableId="1841850134">
    <w:abstractNumId w:val="41"/>
  </w:num>
  <w:num w:numId="18" w16cid:durableId="1406337884">
    <w:abstractNumId w:val="20"/>
  </w:num>
  <w:num w:numId="19" w16cid:durableId="2074614961">
    <w:abstractNumId w:val="15"/>
  </w:num>
  <w:num w:numId="20" w16cid:durableId="1744524512">
    <w:abstractNumId w:val="10"/>
  </w:num>
  <w:num w:numId="21" w16cid:durableId="1624655924">
    <w:abstractNumId w:val="29"/>
  </w:num>
  <w:num w:numId="22" w16cid:durableId="448089098">
    <w:abstractNumId w:val="13"/>
  </w:num>
  <w:num w:numId="23" w16cid:durableId="1590576684">
    <w:abstractNumId w:val="21"/>
  </w:num>
  <w:num w:numId="24" w16cid:durableId="134759086">
    <w:abstractNumId w:val="23"/>
  </w:num>
  <w:num w:numId="25" w16cid:durableId="96482209">
    <w:abstractNumId w:val="35"/>
  </w:num>
  <w:num w:numId="26" w16cid:durableId="1929609069">
    <w:abstractNumId w:val="17"/>
  </w:num>
  <w:num w:numId="27" w16cid:durableId="2108693264">
    <w:abstractNumId w:val="27"/>
  </w:num>
  <w:num w:numId="28" w16cid:durableId="1445688694">
    <w:abstractNumId w:val="33"/>
  </w:num>
  <w:num w:numId="29" w16cid:durableId="1757554622">
    <w:abstractNumId w:val="5"/>
  </w:num>
  <w:num w:numId="30" w16cid:durableId="1564682624">
    <w:abstractNumId w:val="18"/>
  </w:num>
  <w:num w:numId="31" w16cid:durableId="46342882">
    <w:abstractNumId w:val="24"/>
  </w:num>
  <w:num w:numId="32" w16cid:durableId="1209298850">
    <w:abstractNumId w:val="28"/>
  </w:num>
  <w:num w:numId="33" w16cid:durableId="128938340">
    <w:abstractNumId w:val="30"/>
  </w:num>
  <w:num w:numId="34" w16cid:durableId="1205143369">
    <w:abstractNumId w:val="1"/>
  </w:num>
  <w:num w:numId="35" w16cid:durableId="392000950">
    <w:abstractNumId w:val="26"/>
  </w:num>
  <w:num w:numId="36" w16cid:durableId="369652543">
    <w:abstractNumId w:val="6"/>
  </w:num>
  <w:num w:numId="37" w16cid:durableId="1098913575">
    <w:abstractNumId w:val="31"/>
  </w:num>
  <w:num w:numId="38" w16cid:durableId="667093887">
    <w:abstractNumId w:val="36"/>
  </w:num>
  <w:num w:numId="39" w16cid:durableId="1762683750">
    <w:abstractNumId w:val="37"/>
  </w:num>
  <w:num w:numId="40" w16cid:durableId="1969705270">
    <w:abstractNumId w:val="22"/>
  </w:num>
  <w:num w:numId="41" w16cid:durableId="1857427067">
    <w:abstractNumId w:val="8"/>
  </w:num>
  <w:num w:numId="42" w16cid:durableId="4055679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137"/>
    <w:rsid w:val="00010D94"/>
    <w:rsid w:val="00010F4B"/>
    <w:rsid w:val="00011F4A"/>
    <w:rsid w:val="0002062E"/>
    <w:rsid w:val="00026633"/>
    <w:rsid w:val="00032AA9"/>
    <w:rsid w:val="00035945"/>
    <w:rsid w:val="00043606"/>
    <w:rsid w:val="00045D95"/>
    <w:rsid w:val="00045DC9"/>
    <w:rsid w:val="00046950"/>
    <w:rsid w:val="000520AE"/>
    <w:rsid w:val="00054112"/>
    <w:rsid w:val="00067E98"/>
    <w:rsid w:val="00067F41"/>
    <w:rsid w:val="0007138D"/>
    <w:rsid w:val="00072126"/>
    <w:rsid w:val="00073D60"/>
    <w:rsid w:val="00080B1B"/>
    <w:rsid w:val="00086D33"/>
    <w:rsid w:val="00087D11"/>
    <w:rsid w:val="000903B6"/>
    <w:rsid w:val="000907A1"/>
    <w:rsid w:val="00090DB4"/>
    <w:rsid w:val="000A2D73"/>
    <w:rsid w:val="000A6656"/>
    <w:rsid w:val="000A6F77"/>
    <w:rsid w:val="000A7F70"/>
    <w:rsid w:val="000B2434"/>
    <w:rsid w:val="000B63A3"/>
    <w:rsid w:val="000B6654"/>
    <w:rsid w:val="000C15EF"/>
    <w:rsid w:val="000C2B8B"/>
    <w:rsid w:val="000C4168"/>
    <w:rsid w:val="000C5290"/>
    <w:rsid w:val="000D5C7F"/>
    <w:rsid w:val="000E0679"/>
    <w:rsid w:val="000E2C3C"/>
    <w:rsid w:val="000E5F89"/>
    <w:rsid w:val="000F033F"/>
    <w:rsid w:val="000F27C0"/>
    <w:rsid w:val="000F72FE"/>
    <w:rsid w:val="000F74E4"/>
    <w:rsid w:val="000F782F"/>
    <w:rsid w:val="00112825"/>
    <w:rsid w:val="001128F7"/>
    <w:rsid w:val="00113ABE"/>
    <w:rsid w:val="0011498E"/>
    <w:rsid w:val="00126035"/>
    <w:rsid w:val="001266DF"/>
    <w:rsid w:val="0012679E"/>
    <w:rsid w:val="00132384"/>
    <w:rsid w:val="00137940"/>
    <w:rsid w:val="00140050"/>
    <w:rsid w:val="00144ABE"/>
    <w:rsid w:val="0014511F"/>
    <w:rsid w:val="00154029"/>
    <w:rsid w:val="001540A3"/>
    <w:rsid w:val="00160B86"/>
    <w:rsid w:val="001612F5"/>
    <w:rsid w:val="00161884"/>
    <w:rsid w:val="0016392D"/>
    <w:rsid w:val="0017095E"/>
    <w:rsid w:val="00174393"/>
    <w:rsid w:val="001759D4"/>
    <w:rsid w:val="00181665"/>
    <w:rsid w:val="001843DC"/>
    <w:rsid w:val="00197BDC"/>
    <w:rsid w:val="001A3F22"/>
    <w:rsid w:val="001B419A"/>
    <w:rsid w:val="001B5BA3"/>
    <w:rsid w:val="001B67A6"/>
    <w:rsid w:val="001B737F"/>
    <w:rsid w:val="001C077D"/>
    <w:rsid w:val="001C172C"/>
    <w:rsid w:val="001C3680"/>
    <w:rsid w:val="001C5005"/>
    <w:rsid w:val="001D2B2A"/>
    <w:rsid w:val="001D3A19"/>
    <w:rsid w:val="001D6CBD"/>
    <w:rsid w:val="001E21B3"/>
    <w:rsid w:val="00204668"/>
    <w:rsid w:val="0020479C"/>
    <w:rsid w:val="0021020E"/>
    <w:rsid w:val="00211FB2"/>
    <w:rsid w:val="00212A2D"/>
    <w:rsid w:val="0021499C"/>
    <w:rsid w:val="00215E0E"/>
    <w:rsid w:val="00216AA6"/>
    <w:rsid w:val="00227D18"/>
    <w:rsid w:val="002403C0"/>
    <w:rsid w:val="00243949"/>
    <w:rsid w:val="00244217"/>
    <w:rsid w:val="00255156"/>
    <w:rsid w:val="002570CB"/>
    <w:rsid w:val="00262500"/>
    <w:rsid w:val="002639DA"/>
    <w:rsid w:val="00264D5B"/>
    <w:rsid w:val="00273549"/>
    <w:rsid w:val="00281AA9"/>
    <w:rsid w:val="00281D2F"/>
    <w:rsid w:val="00281F01"/>
    <w:rsid w:val="0028508C"/>
    <w:rsid w:val="00292284"/>
    <w:rsid w:val="002A2393"/>
    <w:rsid w:val="002B5C41"/>
    <w:rsid w:val="002C12E1"/>
    <w:rsid w:val="002C1BE1"/>
    <w:rsid w:val="002C2419"/>
    <w:rsid w:val="002C41EF"/>
    <w:rsid w:val="002D1D09"/>
    <w:rsid w:val="002D4097"/>
    <w:rsid w:val="002D54BF"/>
    <w:rsid w:val="002D6F0A"/>
    <w:rsid w:val="002E20AC"/>
    <w:rsid w:val="002E3ECE"/>
    <w:rsid w:val="002E69E9"/>
    <w:rsid w:val="002F0EC5"/>
    <w:rsid w:val="002F41A9"/>
    <w:rsid w:val="002F4243"/>
    <w:rsid w:val="0030383F"/>
    <w:rsid w:val="00304FAD"/>
    <w:rsid w:val="003050E3"/>
    <w:rsid w:val="003056EC"/>
    <w:rsid w:val="00313811"/>
    <w:rsid w:val="00316169"/>
    <w:rsid w:val="00321ED4"/>
    <w:rsid w:val="00322C58"/>
    <w:rsid w:val="00324463"/>
    <w:rsid w:val="00327F06"/>
    <w:rsid w:val="00334C1B"/>
    <w:rsid w:val="00343AE6"/>
    <w:rsid w:val="003472FA"/>
    <w:rsid w:val="00353E02"/>
    <w:rsid w:val="0035434F"/>
    <w:rsid w:val="00354B05"/>
    <w:rsid w:val="00363A8B"/>
    <w:rsid w:val="00363DAB"/>
    <w:rsid w:val="00370832"/>
    <w:rsid w:val="0037452B"/>
    <w:rsid w:val="003827ED"/>
    <w:rsid w:val="00383C15"/>
    <w:rsid w:val="003863D1"/>
    <w:rsid w:val="0039066D"/>
    <w:rsid w:val="00390D4F"/>
    <w:rsid w:val="00390E3A"/>
    <w:rsid w:val="00397E35"/>
    <w:rsid w:val="003A3AB4"/>
    <w:rsid w:val="003A7256"/>
    <w:rsid w:val="003A772D"/>
    <w:rsid w:val="003B051A"/>
    <w:rsid w:val="003B1219"/>
    <w:rsid w:val="003B3C3F"/>
    <w:rsid w:val="003B3D69"/>
    <w:rsid w:val="003B5D2D"/>
    <w:rsid w:val="003B70AC"/>
    <w:rsid w:val="003B79DD"/>
    <w:rsid w:val="003C113D"/>
    <w:rsid w:val="003C287F"/>
    <w:rsid w:val="003D53C5"/>
    <w:rsid w:val="003D625A"/>
    <w:rsid w:val="003E23DB"/>
    <w:rsid w:val="003E3A94"/>
    <w:rsid w:val="003E5400"/>
    <w:rsid w:val="003E6FE5"/>
    <w:rsid w:val="003F2CE7"/>
    <w:rsid w:val="003F5457"/>
    <w:rsid w:val="00401E71"/>
    <w:rsid w:val="00404040"/>
    <w:rsid w:val="00404827"/>
    <w:rsid w:val="00410CB5"/>
    <w:rsid w:val="00414BB2"/>
    <w:rsid w:val="00415006"/>
    <w:rsid w:val="00417A5C"/>
    <w:rsid w:val="0042044A"/>
    <w:rsid w:val="00420B8C"/>
    <w:rsid w:val="00423C4E"/>
    <w:rsid w:val="004248D4"/>
    <w:rsid w:val="00434CDC"/>
    <w:rsid w:val="0043592B"/>
    <w:rsid w:val="00435F1F"/>
    <w:rsid w:val="00451161"/>
    <w:rsid w:val="004648E8"/>
    <w:rsid w:val="0046554F"/>
    <w:rsid w:val="00470116"/>
    <w:rsid w:val="00470444"/>
    <w:rsid w:val="00482E30"/>
    <w:rsid w:val="004833F8"/>
    <w:rsid w:val="00491044"/>
    <w:rsid w:val="004921B8"/>
    <w:rsid w:val="00493638"/>
    <w:rsid w:val="00495616"/>
    <w:rsid w:val="00495742"/>
    <w:rsid w:val="004A1285"/>
    <w:rsid w:val="004A3882"/>
    <w:rsid w:val="004A4AFC"/>
    <w:rsid w:val="004B2B6D"/>
    <w:rsid w:val="004B62A9"/>
    <w:rsid w:val="004B7566"/>
    <w:rsid w:val="004B77C8"/>
    <w:rsid w:val="004C1D6C"/>
    <w:rsid w:val="004C248A"/>
    <w:rsid w:val="004D220F"/>
    <w:rsid w:val="004D23F4"/>
    <w:rsid w:val="004D2FF9"/>
    <w:rsid w:val="004D6698"/>
    <w:rsid w:val="004D7B9C"/>
    <w:rsid w:val="004E20B4"/>
    <w:rsid w:val="004E6D72"/>
    <w:rsid w:val="004F0EF9"/>
    <w:rsid w:val="004F28A6"/>
    <w:rsid w:val="004F4277"/>
    <w:rsid w:val="004F7100"/>
    <w:rsid w:val="005028A8"/>
    <w:rsid w:val="005043C4"/>
    <w:rsid w:val="00505137"/>
    <w:rsid w:val="00510629"/>
    <w:rsid w:val="005109A6"/>
    <w:rsid w:val="0051321A"/>
    <w:rsid w:val="005132CB"/>
    <w:rsid w:val="00517FFA"/>
    <w:rsid w:val="00520181"/>
    <w:rsid w:val="00522145"/>
    <w:rsid w:val="005235CF"/>
    <w:rsid w:val="00524DD8"/>
    <w:rsid w:val="00525737"/>
    <w:rsid w:val="00526010"/>
    <w:rsid w:val="0052643F"/>
    <w:rsid w:val="00541041"/>
    <w:rsid w:val="0054295F"/>
    <w:rsid w:val="005607B0"/>
    <w:rsid w:val="005623B0"/>
    <w:rsid w:val="005634AB"/>
    <w:rsid w:val="00564F81"/>
    <w:rsid w:val="005716FF"/>
    <w:rsid w:val="00571885"/>
    <w:rsid w:val="005722FC"/>
    <w:rsid w:val="00572C9A"/>
    <w:rsid w:val="00586B59"/>
    <w:rsid w:val="00591057"/>
    <w:rsid w:val="00595EB4"/>
    <w:rsid w:val="005976A5"/>
    <w:rsid w:val="005A0775"/>
    <w:rsid w:val="005A5C8F"/>
    <w:rsid w:val="005A759E"/>
    <w:rsid w:val="005B5BEE"/>
    <w:rsid w:val="005C5BAB"/>
    <w:rsid w:val="005C6864"/>
    <w:rsid w:val="005D18AA"/>
    <w:rsid w:val="005D746D"/>
    <w:rsid w:val="005E39EB"/>
    <w:rsid w:val="005F2EF7"/>
    <w:rsid w:val="0061036F"/>
    <w:rsid w:val="006115C3"/>
    <w:rsid w:val="0061230D"/>
    <w:rsid w:val="006205C6"/>
    <w:rsid w:val="00623A0C"/>
    <w:rsid w:val="00633ECA"/>
    <w:rsid w:val="00634E98"/>
    <w:rsid w:val="00641541"/>
    <w:rsid w:val="0064282E"/>
    <w:rsid w:val="00653804"/>
    <w:rsid w:val="00657BE0"/>
    <w:rsid w:val="006658F9"/>
    <w:rsid w:val="00667678"/>
    <w:rsid w:val="0067184F"/>
    <w:rsid w:val="00671A01"/>
    <w:rsid w:val="00686FD1"/>
    <w:rsid w:val="00690868"/>
    <w:rsid w:val="00692BB2"/>
    <w:rsid w:val="006935AD"/>
    <w:rsid w:val="006964D3"/>
    <w:rsid w:val="00696EB7"/>
    <w:rsid w:val="006B461B"/>
    <w:rsid w:val="006B5753"/>
    <w:rsid w:val="006B743A"/>
    <w:rsid w:val="006D3005"/>
    <w:rsid w:val="006D30A4"/>
    <w:rsid w:val="006D6217"/>
    <w:rsid w:val="006D6EB6"/>
    <w:rsid w:val="006D7A08"/>
    <w:rsid w:val="006E1B9D"/>
    <w:rsid w:val="006E46F2"/>
    <w:rsid w:val="006E522E"/>
    <w:rsid w:val="006F37C7"/>
    <w:rsid w:val="006F40DA"/>
    <w:rsid w:val="006F434F"/>
    <w:rsid w:val="006F4B75"/>
    <w:rsid w:val="006F7650"/>
    <w:rsid w:val="0070669D"/>
    <w:rsid w:val="00717447"/>
    <w:rsid w:val="00717577"/>
    <w:rsid w:val="007264EB"/>
    <w:rsid w:val="00726D0C"/>
    <w:rsid w:val="00730A15"/>
    <w:rsid w:val="00731A4B"/>
    <w:rsid w:val="00735FCC"/>
    <w:rsid w:val="007360DE"/>
    <w:rsid w:val="00737C92"/>
    <w:rsid w:val="00742A8C"/>
    <w:rsid w:val="00746462"/>
    <w:rsid w:val="007512AB"/>
    <w:rsid w:val="007519C3"/>
    <w:rsid w:val="0075543C"/>
    <w:rsid w:val="00756770"/>
    <w:rsid w:val="00764C68"/>
    <w:rsid w:val="0076526F"/>
    <w:rsid w:val="00766928"/>
    <w:rsid w:val="00775522"/>
    <w:rsid w:val="00775B93"/>
    <w:rsid w:val="00775CB9"/>
    <w:rsid w:val="00782BC4"/>
    <w:rsid w:val="007940E8"/>
    <w:rsid w:val="007946AE"/>
    <w:rsid w:val="00795501"/>
    <w:rsid w:val="007A0418"/>
    <w:rsid w:val="007B06DA"/>
    <w:rsid w:val="007B2E45"/>
    <w:rsid w:val="007C1837"/>
    <w:rsid w:val="007C38EA"/>
    <w:rsid w:val="007C4BBF"/>
    <w:rsid w:val="007C7610"/>
    <w:rsid w:val="007D2A30"/>
    <w:rsid w:val="007D590F"/>
    <w:rsid w:val="007E0AB1"/>
    <w:rsid w:val="007E1258"/>
    <w:rsid w:val="007E62D3"/>
    <w:rsid w:val="007E7D2D"/>
    <w:rsid w:val="007F0067"/>
    <w:rsid w:val="00800645"/>
    <w:rsid w:val="008041CD"/>
    <w:rsid w:val="00810772"/>
    <w:rsid w:val="00813222"/>
    <w:rsid w:val="00815611"/>
    <w:rsid w:val="008228B9"/>
    <w:rsid w:val="00824686"/>
    <w:rsid w:val="00826C6E"/>
    <w:rsid w:val="008279A0"/>
    <w:rsid w:val="008340F6"/>
    <w:rsid w:val="0084429C"/>
    <w:rsid w:val="00845569"/>
    <w:rsid w:val="00846082"/>
    <w:rsid w:val="00851EA9"/>
    <w:rsid w:val="008608B5"/>
    <w:rsid w:val="00865367"/>
    <w:rsid w:val="008657C4"/>
    <w:rsid w:val="0086588F"/>
    <w:rsid w:val="00866938"/>
    <w:rsid w:val="0087588F"/>
    <w:rsid w:val="00875D5E"/>
    <w:rsid w:val="00880043"/>
    <w:rsid w:val="0088262B"/>
    <w:rsid w:val="00882A94"/>
    <w:rsid w:val="00890873"/>
    <w:rsid w:val="008962E4"/>
    <w:rsid w:val="008A4AD2"/>
    <w:rsid w:val="008B005C"/>
    <w:rsid w:val="008B026D"/>
    <w:rsid w:val="008B5211"/>
    <w:rsid w:val="008B6ACB"/>
    <w:rsid w:val="008B6CC9"/>
    <w:rsid w:val="008B71A8"/>
    <w:rsid w:val="008C3749"/>
    <w:rsid w:val="008C5790"/>
    <w:rsid w:val="008C59B4"/>
    <w:rsid w:val="008C5E49"/>
    <w:rsid w:val="008D0378"/>
    <w:rsid w:val="008D07FC"/>
    <w:rsid w:val="008D2344"/>
    <w:rsid w:val="008D506A"/>
    <w:rsid w:val="008D5083"/>
    <w:rsid w:val="008E0408"/>
    <w:rsid w:val="008E11CD"/>
    <w:rsid w:val="008E3F1F"/>
    <w:rsid w:val="008F0EFE"/>
    <w:rsid w:val="008F236D"/>
    <w:rsid w:val="008F652B"/>
    <w:rsid w:val="008F7B05"/>
    <w:rsid w:val="0090249A"/>
    <w:rsid w:val="009038E6"/>
    <w:rsid w:val="00904CF0"/>
    <w:rsid w:val="009065E4"/>
    <w:rsid w:val="0091014B"/>
    <w:rsid w:val="00910EF4"/>
    <w:rsid w:val="009157C9"/>
    <w:rsid w:val="00921410"/>
    <w:rsid w:val="009233CB"/>
    <w:rsid w:val="0092456E"/>
    <w:rsid w:val="00935C56"/>
    <w:rsid w:val="00935D16"/>
    <w:rsid w:val="00940FCC"/>
    <w:rsid w:val="00943848"/>
    <w:rsid w:val="00944419"/>
    <w:rsid w:val="00944476"/>
    <w:rsid w:val="009461E7"/>
    <w:rsid w:val="00955750"/>
    <w:rsid w:val="00957389"/>
    <w:rsid w:val="00961725"/>
    <w:rsid w:val="0096388F"/>
    <w:rsid w:val="009725AC"/>
    <w:rsid w:val="00975C2C"/>
    <w:rsid w:val="009763E1"/>
    <w:rsid w:val="00977F79"/>
    <w:rsid w:val="00980D79"/>
    <w:rsid w:val="0098550C"/>
    <w:rsid w:val="00987311"/>
    <w:rsid w:val="00993D3E"/>
    <w:rsid w:val="009C1DA6"/>
    <w:rsid w:val="009C24B5"/>
    <w:rsid w:val="009D2CE7"/>
    <w:rsid w:val="009D41B2"/>
    <w:rsid w:val="009D4530"/>
    <w:rsid w:val="009E00DB"/>
    <w:rsid w:val="009E4B73"/>
    <w:rsid w:val="009F55AE"/>
    <w:rsid w:val="009F6A37"/>
    <w:rsid w:val="009F6FCD"/>
    <w:rsid w:val="009F7C86"/>
    <w:rsid w:val="00A02B87"/>
    <w:rsid w:val="00A11998"/>
    <w:rsid w:val="00A137D7"/>
    <w:rsid w:val="00A1577C"/>
    <w:rsid w:val="00A15FDC"/>
    <w:rsid w:val="00A271E9"/>
    <w:rsid w:val="00A328B3"/>
    <w:rsid w:val="00A34932"/>
    <w:rsid w:val="00A37E8A"/>
    <w:rsid w:val="00A43A9B"/>
    <w:rsid w:val="00A528ED"/>
    <w:rsid w:val="00A54DF3"/>
    <w:rsid w:val="00A67094"/>
    <w:rsid w:val="00A763C1"/>
    <w:rsid w:val="00A81AA9"/>
    <w:rsid w:val="00A82DF3"/>
    <w:rsid w:val="00A83B50"/>
    <w:rsid w:val="00A847C7"/>
    <w:rsid w:val="00A85CBC"/>
    <w:rsid w:val="00A871DF"/>
    <w:rsid w:val="00A87201"/>
    <w:rsid w:val="00A93EA7"/>
    <w:rsid w:val="00A95DC6"/>
    <w:rsid w:val="00AA00CC"/>
    <w:rsid w:val="00AA1311"/>
    <w:rsid w:val="00AA3CF9"/>
    <w:rsid w:val="00AA617B"/>
    <w:rsid w:val="00AB525B"/>
    <w:rsid w:val="00AC1595"/>
    <w:rsid w:val="00AC2B87"/>
    <w:rsid w:val="00AC4593"/>
    <w:rsid w:val="00AD15F1"/>
    <w:rsid w:val="00AD1D24"/>
    <w:rsid w:val="00AE146D"/>
    <w:rsid w:val="00AE1ECD"/>
    <w:rsid w:val="00AE3FF9"/>
    <w:rsid w:val="00AE6C13"/>
    <w:rsid w:val="00AE706C"/>
    <w:rsid w:val="00AF0802"/>
    <w:rsid w:val="00AF797E"/>
    <w:rsid w:val="00B00192"/>
    <w:rsid w:val="00B001B9"/>
    <w:rsid w:val="00B02A0A"/>
    <w:rsid w:val="00B0432E"/>
    <w:rsid w:val="00B203EF"/>
    <w:rsid w:val="00B21302"/>
    <w:rsid w:val="00B25635"/>
    <w:rsid w:val="00B271C2"/>
    <w:rsid w:val="00B31A3C"/>
    <w:rsid w:val="00B3247F"/>
    <w:rsid w:val="00B50B71"/>
    <w:rsid w:val="00B51793"/>
    <w:rsid w:val="00B54604"/>
    <w:rsid w:val="00B54A81"/>
    <w:rsid w:val="00B550A1"/>
    <w:rsid w:val="00B57337"/>
    <w:rsid w:val="00B57838"/>
    <w:rsid w:val="00B6040F"/>
    <w:rsid w:val="00B61582"/>
    <w:rsid w:val="00B6551F"/>
    <w:rsid w:val="00B71B65"/>
    <w:rsid w:val="00B8485F"/>
    <w:rsid w:val="00B849B6"/>
    <w:rsid w:val="00B914D0"/>
    <w:rsid w:val="00B941A4"/>
    <w:rsid w:val="00B96070"/>
    <w:rsid w:val="00BA35A6"/>
    <w:rsid w:val="00BA5790"/>
    <w:rsid w:val="00BA6B24"/>
    <w:rsid w:val="00BB257B"/>
    <w:rsid w:val="00BB40E0"/>
    <w:rsid w:val="00BB788D"/>
    <w:rsid w:val="00BC6BF1"/>
    <w:rsid w:val="00BD11EA"/>
    <w:rsid w:val="00BD2DE6"/>
    <w:rsid w:val="00BD7DB6"/>
    <w:rsid w:val="00BE7C11"/>
    <w:rsid w:val="00BF3DAE"/>
    <w:rsid w:val="00BF67D5"/>
    <w:rsid w:val="00BF6F3A"/>
    <w:rsid w:val="00C052AD"/>
    <w:rsid w:val="00C23B0A"/>
    <w:rsid w:val="00C26735"/>
    <w:rsid w:val="00C301E5"/>
    <w:rsid w:val="00C30661"/>
    <w:rsid w:val="00C34C68"/>
    <w:rsid w:val="00C37390"/>
    <w:rsid w:val="00C45352"/>
    <w:rsid w:val="00C53C24"/>
    <w:rsid w:val="00C6236A"/>
    <w:rsid w:val="00C62C97"/>
    <w:rsid w:val="00C64EFD"/>
    <w:rsid w:val="00C70E88"/>
    <w:rsid w:val="00C726C7"/>
    <w:rsid w:val="00C844DB"/>
    <w:rsid w:val="00C90ABD"/>
    <w:rsid w:val="00C96264"/>
    <w:rsid w:val="00C97B05"/>
    <w:rsid w:val="00CA064B"/>
    <w:rsid w:val="00CA3DE9"/>
    <w:rsid w:val="00CA4BAF"/>
    <w:rsid w:val="00CA5480"/>
    <w:rsid w:val="00CA60F9"/>
    <w:rsid w:val="00CB22D3"/>
    <w:rsid w:val="00CC0422"/>
    <w:rsid w:val="00CC0CD9"/>
    <w:rsid w:val="00CD6227"/>
    <w:rsid w:val="00CD677A"/>
    <w:rsid w:val="00CE49FF"/>
    <w:rsid w:val="00CF609C"/>
    <w:rsid w:val="00CF66E0"/>
    <w:rsid w:val="00D008A2"/>
    <w:rsid w:val="00D02736"/>
    <w:rsid w:val="00D039AC"/>
    <w:rsid w:val="00D05190"/>
    <w:rsid w:val="00D072C9"/>
    <w:rsid w:val="00D22E8A"/>
    <w:rsid w:val="00D22F03"/>
    <w:rsid w:val="00D24E48"/>
    <w:rsid w:val="00D25CED"/>
    <w:rsid w:val="00D32214"/>
    <w:rsid w:val="00D325EA"/>
    <w:rsid w:val="00D411A8"/>
    <w:rsid w:val="00D411C1"/>
    <w:rsid w:val="00D45E07"/>
    <w:rsid w:val="00D45E44"/>
    <w:rsid w:val="00D50D34"/>
    <w:rsid w:val="00D52002"/>
    <w:rsid w:val="00D536F5"/>
    <w:rsid w:val="00D53B61"/>
    <w:rsid w:val="00D53BC9"/>
    <w:rsid w:val="00D57D53"/>
    <w:rsid w:val="00D62660"/>
    <w:rsid w:val="00D64C5B"/>
    <w:rsid w:val="00D669A3"/>
    <w:rsid w:val="00D669B5"/>
    <w:rsid w:val="00D674D9"/>
    <w:rsid w:val="00D75671"/>
    <w:rsid w:val="00D75C1A"/>
    <w:rsid w:val="00D75D51"/>
    <w:rsid w:val="00D77D2F"/>
    <w:rsid w:val="00D806B2"/>
    <w:rsid w:val="00D87EC6"/>
    <w:rsid w:val="00D92E83"/>
    <w:rsid w:val="00DA583C"/>
    <w:rsid w:val="00DA612A"/>
    <w:rsid w:val="00DB0DEE"/>
    <w:rsid w:val="00DB391D"/>
    <w:rsid w:val="00DC24FE"/>
    <w:rsid w:val="00DC35A7"/>
    <w:rsid w:val="00DD1658"/>
    <w:rsid w:val="00DD5C6F"/>
    <w:rsid w:val="00DD63CE"/>
    <w:rsid w:val="00DD6C0B"/>
    <w:rsid w:val="00DE18F1"/>
    <w:rsid w:val="00DE47DA"/>
    <w:rsid w:val="00DE7DFC"/>
    <w:rsid w:val="00DF132B"/>
    <w:rsid w:val="00DF7836"/>
    <w:rsid w:val="00E035C6"/>
    <w:rsid w:val="00E10043"/>
    <w:rsid w:val="00E1137C"/>
    <w:rsid w:val="00E12855"/>
    <w:rsid w:val="00E14259"/>
    <w:rsid w:val="00E148C8"/>
    <w:rsid w:val="00E16FE1"/>
    <w:rsid w:val="00E2770E"/>
    <w:rsid w:val="00E30A83"/>
    <w:rsid w:val="00E31A75"/>
    <w:rsid w:val="00E349E0"/>
    <w:rsid w:val="00E34DF2"/>
    <w:rsid w:val="00E367B9"/>
    <w:rsid w:val="00E37B5E"/>
    <w:rsid w:val="00E41B73"/>
    <w:rsid w:val="00E44737"/>
    <w:rsid w:val="00E44A7D"/>
    <w:rsid w:val="00E510AA"/>
    <w:rsid w:val="00E56873"/>
    <w:rsid w:val="00E56A46"/>
    <w:rsid w:val="00E56F45"/>
    <w:rsid w:val="00E61126"/>
    <w:rsid w:val="00E6187C"/>
    <w:rsid w:val="00E7680C"/>
    <w:rsid w:val="00E76C56"/>
    <w:rsid w:val="00E860FD"/>
    <w:rsid w:val="00E917F5"/>
    <w:rsid w:val="00E946F0"/>
    <w:rsid w:val="00EA0CC7"/>
    <w:rsid w:val="00EA0E01"/>
    <w:rsid w:val="00EA1AC8"/>
    <w:rsid w:val="00EB22DA"/>
    <w:rsid w:val="00EB4B0B"/>
    <w:rsid w:val="00EB5E0D"/>
    <w:rsid w:val="00EC2FE6"/>
    <w:rsid w:val="00EC7635"/>
    <w:rsid w:val="00ED289C"/>
    <w:rsid w:val="00ED2E9A"/>
    <w:rsid w:val="00ED6B25"/>
    <w:rsid w:val="00EE51E3"/>
    <w:rsid w:val="00EE5AD2"/>
    <w:rsid w:val="00EE61CC"/>
    <w:rsid w:val="00EE7A4A"/>
    <w:rsid w:val="00EF04EE"/>
    <w:rsid w:val="00EF3DFA"/>
    <w:rsid w:val="00EF452A"/>
    <w:rsid w:val="00EF4C6D"/>
    <w:rsid w:val="00F03264"/>
    <w:rsid w:val="00F0525A"/>
    <w:rsid w:val="00F0761A"/>
    <w:rsid w:val="00F07EBC"/>
    <w:rsid w:val="00F11565"/>
    <w:rsid w:val="00F1599A"/>
    <w:rsid w:val="00F16550"/>
    <w:rsid w:val="00F211B6"/>
    <w:rsid w:val="00F25779"/>
    <w:rsid w:val="00F323F4"/>
    <w:rsid w:val="00F32B5C"/>
    <w:rsid w:val="00F357D3"/>
    <w:rsid w:val="00F35FD6"/>
    <w:rsid w:val="00F4197C"/>
    <w:rsid w:val="00F42C2B"/>
    <w:rsid w:val="00F4519D"/>
    <w:rsid w:val="00F45CDB"/>
    <w:rsid w:val="00F505FE"/>
    <w:rsid w:val="00F60BFB"/>
    <w:rsid w:val="00F62565"/>
    <w:rsid w:val="00F65CB5"/>
    <w:rsid w:val="00F66309"/>
    <w:rsid w:val="00F664CA"/>
    <w:rsid w:val="00F67A9B"/>
    <w:rsid w:val="00F74CE6"/>
    <w:rsid w:val="00F7577D"/>
    <w:rsid w:val="00F76A0F"/>
    <w:rsid w:val="00F77BE6"/>
    <w:rsid w:val="00F8172A"/>
    <w:rsid w:val="00F86B0C"/>
    <w:rsid w:val="00F914A1"/>
    <w:rsid w:val="00F9697A"/>
    <w:rsid w:val="00FA14DD"/>
    <w:rsid w:val="00FA30D0"/>
    <w:rsid w:val="00FA3825"/>
    <w:rsid w:val="00FB10D7"/>
    <w:rsid w:val="00FB1F52"/>
    <w:rsid w:val="00FC097D"/>
    <w:rsid w:val="00FC3DB2"/>
    <w:rsid w:val="00FD1527"/>
    <w:rsid w:val="00FD16D2"/>
    <w:rsid w:val="00FD3130"/>
    <w:rsid w:val="00FD421A"/>
    <w:rsid w:val="00FE2093"/>
    <w:rsid w:val="00FE269B"/>
    <w:rsid w:val="00FE7286"/>
    <w:rsid w:val="00FF2FE8"/>
    <w:rsid w:val="00FF6437"/>
    <w:rsid w:val="00FF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7F581"/>
  <w14:defaultImageDpi w14:val="32767"/>
  <w15:chartTrackingRefBased/>
  <w15:docId w15:val="{4569405E-8DC7-BD4C-8E19-68BDAFC0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05137"/>
    <w:pPr>
      <w:spacing w:before="200" w:after="200" w:line="276" w:lineRule="auto"/>
    </w:pPr>
    <w:rPr>
      <w:rFonts w:eastAsiaTheme="minorEastAsia"/>
      <w:sz w:val="20"/>
      <w:szCs w:val="20"/>
    </w:rPr>
  </w:style>
  <w:style w:type="paragraph" w:styleId="Heading2">
    <w:name w:val="heading 2"/>
    <w:basedOn w:val="Normal"/>
    <w:next w:val="Normal"/>
    <w:link w:val="Heading2Char"/>
    <w:uiPriority w:val="9"/>
    <w:unhideWhenUsed/>
    <w:qFormat/>
    <w:rsid w:val="00505137"/>
    <w:pPr>
      <w:pBdr>
        <w:top w:val="single" w:sz="24" w:space="0" w:color="F9CEC2" w:themeColor="accent1" w:themeTint="33"/>
        <w:left w:val="single" w:sz="24" w:space="0" w:color="F9CEC2" w:themeColor="accent1" w:themeTint="33"/>
        <w:bottom w:val="single" w:sz="24" w:space="0" w:color="F9CEC2" w:themeColor="accent1" w:themeTint="33"/>
        <w:right w:val="single" w:sz="24" w:space="0" w:color="F9CEC2" w:themeColor="accent1" w:themeTint="33"/>
      </w:pBdr>
      <w:shd w:val="clear" w:color="auto" w:fill="F9CEC2"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505137"/>
    <w:pPr>
      <w:pBdr>
        <w:top w:val="single" w:sz="6" w:space="2" w:color="A5300F" w:themeColor="accent1"/>
        <w:left w:val="single" w:sz="6" w:space="2" w:color="A5300F" w:themeColor="accent1"/>
      </w:pBdr>
      <w:spacing w:before="300" w:after="0"/>
      <w:outlineLvl w:val="2"/>
    </w:pPr>
    <w:rPr>
      <w:caps/>
      <w:color w:val="511707" w:themeColor="accent1" w:themeShade="7F"/>
      <w:spacing w:val="1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5137"/>
    <w:rPr>
      <w:rFonts w:eastAsiaTheme="minorEastAsia"/>
      <w:caps/>
      <w:spacing w:val="15"/>
      <w:sz w:val="22"/>
      <w:szCs w:val="22"/>
      <w:shd w:val="clear" w:color="auto" w:fill="F9CEC2" w:themeFill="accent1" w:themeFillTint="33"/>
    </w:rPr>
  </w:style>
  <w:style w:type="character" w:customStyle="1" w:styleId="Heading3Char">
    <w:name w:val="Heading 3 Char"/>
    <w:basedOn w:val="DefaultParagraphFont"/>
    <w:link w:val="Heading3"/>
    <w:uiPriority w:val="9"/>
    <w:rsid w:val="00505137"/>
    <w:rPr>
      <w:rFonts w:eastAsiaTheme="minorEastAsia"/>
      <w:caps/>
      <w:color w:val="511707" w:themeColor="accent1" w:themeShade="7F"/>
      <w:spacing w:val="15"/>
      <w:sz w:val="22"/>
      <w:szCs w:val="22"/>
    </w:rPr>
  </w:style>
  <w:style w:type="paragraph" w:styleId="Title">
    <w:name w:val="Title"/>
    <w:basedOn w:val="Normal"/>
    <w:next w:val="Normal"/>
    <w:link w:val="TitleChar"/>
    <w:uiPriority w:val="10"/>
    <w:qFormat/>
    <w:rsid w:val="00505137"/>
    <w:pPr>
      <w:spacing w:before="720"/>
    </w:pPr>
    <w:rPr>
      <w:caps/>
      <w:color w:val="A5300F" w:themeColor="accent1"/>
      <w:spacing w:val="10"/>
      <w:kern w:val="28"/>
      <w:sz w:val="52"/>
      <w:szCs w:val="52"/>
    </w:rPr>
  </w:style>
  <w:style w:type="character" w:customStyle="1" w:styleId="TitleChar">
    <w:name w:val="Title Char"/>
    <w:basedOn w:val="DefaultParagraphFont"/>
    <w:link w:val="Title"/>
    <w:uiPriority w:val="10"/>
    <w:rsid w:val="00505137"/>
    <w:rPr>
      <w:rFonts w:eastAsiaTheme="minorEastAsia"/>
      <w:caps/>
      <w:color w:val="A5300F" w:themeColor="accent1"/>
      <w:spacing w:val="10"/>
      <w:kern w:val="28"/>
      <w:sz w:val="52"/>
      <w:szCs w:val="52"/>
    </w:rPr>
  </w:style>
  <w:style w:type="paragraph" w:styleId="Subtitle">
    <w:name w:val="Subtitle"/>
    <w:basedOn w:val="Normal"/>
    <w:next w:val="Normal"/>
    <w:link w:val="SubtitleChar"/>
    <w:uiPriority w:val="11"/>
    <w:qFormat/>
    <w:rsid w:val="00505137"/>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505137"/>
    <w:rPr>
      <w:rFonts w:eastAsiaTheme="minorEastAsia"/>
      <w:caps/>
      <w:color w:val="595959" w:themeColor="text1" w:themeTint="A6"/>
      <w:spacing w:val="10"/>
    </w:rPr>
  </w:style>
  <w:style w:type="paragraph" w:styleId="ListParagraph">
    <w:name w:val="List Paragraph"/>
    <w:basedOn w:val="Normal"/>
    <w:uiPriority w:val="34"/>
    <w:qFormat/>
    <w:rsid w:val="00505137"/>
    <w:pPr>
      <w:ind w:left="720"/>
      <w:contextualSpacing/>
    </w:pPr>
  </w:style>
  <w:style w:type="paragraph" w:styleId="FootnoteText">
    <w:name w:val="footnote text"/>
    <w:basedOn w:val="Normal"/>
    <w:link w:val="FootnoteTextChar"/>
    <w:uiPriority w:val="99"/>
    <w:unhideWhenUsed/>
    <w:rsid w:val="00505137"/>
    <w:pPr>
      <w:spacing w:before="0" w:after="0" w:line="240" w:lineRule="auto"/>
    </w:pPr>
  </w:style>
  <w:style w:type="character" w:customStyle="1" w:styleId="FootnoteTextChar">
    <w:name w:val="Footnote Text Char"/>
    <w:basedOn w:val="DefaultParagraphFont"/>
    <w:link w:val="FootnoteText"/>
    <w:uiPriority w:val="99"/>
    <w:rsid w:val="00505137"/>
    <w:rPr>
      <w:rFonts w:eastAsiaTheme="minorEastAsia"/>
      <w:sz w:val="20"/>
      <w:szCs w:val="20"/>
    </w:rPr>
  </w:style>
  <w:style w:type="character" w:styleId="FootnoteReference">
    <w:name w:val="footnote reference"/>
    <w:basedOn w:val="DefaultParagraphFont"/>
    <w:uiPriority w:val="99"/>
    <w:semiHidden/>
    <w:unhideWhenUsed/>
    <w:rsid w:val="00505137"/>
    <w:rPr>
      <w:vertAlign w:val="superscript"/>
    </w:rPr>
  </w:style>
  <w:style w:type="character" w:styleId="Hyperlink">
    <w:name w:val="Hyperlink"/>
    <w:basedOn w:val="DefaultParagraphFont"/>
    <w:uiPriority w:val="99"/>
    <w:unhideWhenUsed/>
    <w:rsid w:val="00505137"/>
    <w:rPr>
      <w:color w:val="6B9F25" w:themeColor="hyperlink"/>
      <w:u w:val="single"/>
    </w:rPr>
  </w:style>
  <w:style w:type="paragraph" w:styleId="Header">
    <w:name w:val="header"/>
    <w:basedOn w:val="Normal"/>
    <w:link w:val="HeaderChar"/>
    <w:uiPriority w:val="99"/>
    <w:unhideWhenUsed/>
    <w:rsid w:val="009725A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725AC"/>
    <w:rPr>
      <w:rFonts w:eastAsiaTheme="minorEastAsia"/>
      <w:sz w:val="20"/>
      <w:szCs w:val="20"/>
    </w:rPr>
  </w:style>
  <w:style w:type="paragraph" w:styleId="Footer">
    <w:name w:val="footer"/>
    <w:basedOn w:val="Normal"/>
    <w:link w:val="FooterChar"/>
    <w:uiPriority w:val="99"/>
    <w:unhideWhenUsed/>
    <w:rsid w:val="009725A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725AC"/>
    <w:rPr>
      <w:rFonts w:eastAsiaTheme="minorEastAsia"/>
      <w:sz w:val="20"/>
      <w:szCs w:val="20"/>
    </w:rPr>
  </w:style>
  <w:style w:type="paragraph" w:styleId="NormalWeb">
    <w:name w:val="Normal (Web)"/>
    <w:basedOn w:val="Normal"/>
    <w:uiPriority w:val="99"/>
    <w:semiHidden/>
    <w:unhideWhenUsed/>
    <w:rsid w:val="00316169"/>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rsid w:val="00586B59"/>
    <w:rPr>
      <w:color w:val="605E5C"/>
      <w:shd w:val="clear" w:color="auto" w:fill="E1DFDD"/>
    </w:rPr>
  </w:style>
  <w:style w:type="character" w:styleId="FollowedHyperlink">
    <w:name w:val="FollowedHyperlink"/>
    <w:basedOn w:val="DefaultParagraphFont"/>
    <w:uiPriority w:val="99"/>
    <w:semiHidden/>
    <w:unhideWhenUsed/>
    <w:rsid w:val="00591057"/>
    <w:rPr>
      <w:color w:val="B26B02" w:themeColor="followedHyperlink"/>
      <w:u w:val="single"/>
    </w:rPr>
  </w:style>
  <w:style w:type="character" w:styleId="PageNumber">
    <w:name w:val="page number"/>
    <w:basedOn w:val="DefaultParagraphFont"/>
    <w:uiPriority w:val="99"/>
    <w:semiHidden/>
    <w:unhideWhenUsed/>
    <w:rsid w:val="00764C68"/>
  </w:style>
  <w:style w:type="paragraph" w:styleId="BalloonText">
    <w:name w:val="Balloon Text"/>
    <w:basedOn w:val="Normal"/>
    <w:link w:val="BalloonTextChar"/>
    <w:uiPriority w:val="99"/>
    <w:semiHidden/>
    <w:unhideWhenUsed/>
    <w:rsid w:val="00F03264"/>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03264"/>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F03264"/>
    <w:rPr>
      <w:sz w:val="16"/>
      <w:szCs w:val="16"/>
    </w:rPr>
  </w:style>
  <w:style w:type="paragraph" w:styleId="CommentText">
    <w:name w:val="annotation text"/>
    <w:basedOn w:val="Normal"/>
    <w:link w:val="CommentTextChar"/>
    <w:uiPriority w:val="99"/>
    <w:semiHidden/>
    <w:unhideWhenUsed/>
    <w:rsid w:val="00F03264"/>
    <w:pPr>
      <w:spacing w:line="240" w:lineRule="auto"/>
    </w:pPr>
  </w:style>
  <w:style w:type="character" w:customStyle="1" w:styleId="CommentTextChar">
    <w:name w:val="Comment Text Char"/>
    <w:basedOn w:val="DefaultParagraphFont"/>
    <w:link w:val="CommentText"/>
    <w:uiPriority w:val="99"/>
    <w:semiHidden/>
    <w:rsid w:val="00F0326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03264"/>
    <w:rPr>
      <w:b/>
      <w:bCs/>
    </w:rPr>
  </w:style>
  <w:style w:type="character" w:customStyle="1" w:styleId="CommentSubjectChar">
    <w:name w:val="Comment Subject Char"/>
    <w:basedOn w:val="CommentTextChar"/>
    <w:link w:val="CommentSubject"/>
    <w:uiPriority w:val="99"/>
    <w:semiHidden/>
    <w:rsid w:val="00F03264"/>
    <w:rPr>
      <w:rFonts w:eastAsiaTheme="minorEastAsia"/>
      <w:b/>
      <w:bCs/>
      <w:sz w:val="20"/>
      <w:szCs w:val="20"/>
    </w:rPr>
  </w:style>
  <w:style w:type="paragraph" w:styleId="Revision">
    <w:name w:val="Revision"/>
    <w:hidden/>
    <w:uiPriority w:val="99"/>
    <w:semiHidden/>
    <w:rsid w:val="00B0432E"/>
    <w:rPr>
      <w:rFonts w:eastAsiaTheme="minorEastAsia"/>
      <w:sz w:val="20"/>
      <w:szCs w:val="20"/>
    </w:rPr>
  </w:style>
  <w:style w:type="table" w:styleId="TableGrid">
    <w:name w:val="Table Grid"/>
    <w:basedOn w:val="TableNormal"/>
    <w:uiPriority w:val="39"/>
    <w:rsid w:val="00EC2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A1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69689">
      <w:bodyDiv w:val="1"/>
      <w:marLeft w:val="0"/>
      <w:marRight w:val="0"/>
      <w:marTop w:val="0"/>
      <w:marBottom w:val="0"/>
      <w:divBdr>
        <w:top w:val="none" w:sz="0" w:space="0" w:color="auto"/>
        <w:left w:val="none" w:sz="0" w:space="0" w:color="auto"/>
        <w:bottom w:val="none" w:sz="0" w:space="0" w:color="auto"/>
        <w:right w:val="none" w:sz="0" w:space="0" w:color="auto"/>
      </w:divBdr>
    </w:div>
    <w:div w:id="344283373">
      <w:bodyDiv w:val="1"/>
      <w:marLeft w:val="0"/>
      <w:marRight w:val="0"/>
      <w:marTop w:val="0"/>
      <w:marBottom w:val="0"/>
      <w:divBdr>
        <w:top w:val="none" w:sz="0" w:space="0" w:color="auto"/>
        <w:left w:val="none" w:sz="0" w:space="0" w:color="auto"/>
        <w:bottom w:val="none" w:sz="0" w:space="0" w:color="auto"/>
        <w:right w:val="none" w:sz="0" w:space="0" w:color="auto"/>
      </w:divBdr>
    </w:div>
    <w:div w:id="605120096">
      <w:bodyDiv w:val="1"/>
      <w:marLeft w:val="0"/>
      <w:marRight w:val="0"/>
      <w:marTop w:val="0"/>
      <w:marBottom w:val="0"/>
      <w:divBdr>
        <w:top w:val="none" w:sz="0" w:space="0" w:color="auto"/>
        <w:left w:val="none" w:sz="0" w:space="0" w:color="auto"/>
        <w:bottom w:val="none" w:sz="0" w:space="0" w:color="auto"/>
        <w:right w:val="none" w:sz="0" w:space="0" w:color="auto"/>
      </w:divBdr>
    </w:div>
    <w:div w:id="86717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nc/4.0/?ref=chooser-v1" TargetMode="Externa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79E03-2346-2D46-B1C1-0C88FE4F1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610</Words>
  <Characters>3630</Characters>
  <Application>Microsoft Office Word</Application>
  <DocSecurity>0</DocSecurity>
  <Lines>80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J TESLAA</dc:creator>
  <cp:keywords/>
  <dc:description/>
  <cp:lastModifiedBy>Brigitte Boucher</cp:lastModifiedBy>
  <cp:revision>2</cp:revision>
  <cp:lastPrinted>2019-03-14T20:27:00Z</cp:lastPrinted>
  <dcterms:created xsi:type="dcterms:W3CDTF">2025-12-18T20:17:00Z</dcterms:created>
  <dcterms:modified xsi:type="dcterms:W3CDTF">2025-12-18T20:17:00Z</dcterms:modified>
</cp:coreProperties>
</file>